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8BB59E">
      <w:pPr>
        <w:rPr>
          <w:rFonts w:hint="eastAsia" w:ascii="黑体" w:hAnsi="黑体" w:eastAsia="黑体" w:cs="黑体"/>
          <w:b/>
          <w:bCs/>
          <w:color w:val="000000" w:themeColor="text1"/>
          <w:sz w:val="44"/>
          <w:szCs w:val="44"/>
          <w:shd w:val="clear" w:color="auto" w:fill="FFFFFF"/>
          <w:lang w:bidi="ar"/>
          <w14:textFill>
            <w14:solidFill>
              <w14:schemeClr w14:val="tx1"/>
            </w14:solidFill>
          </w14:textFill>
        </w:rPr>
      </w:pPr>
      <w:bookmarkStart w:id="0" w:name="heading_9"/>
    </w:p>
    <w:p w14:paraId="2FC35859">
      <w:pPr>
        <w:pStyle w:val="2"/>
        <w:jc w:val="both"/>
        <w:rPr>
          <w:rFonts w:hint="eastAsia" w:ascii="黑体" w:hAnsi="黑体" w:cs="黑体"/>
          <w:bCs/>
          <w:color w:val="000000" w:themeColor="text1"/>
          <w:sz w:val="44"/>
          <w:szCs w:val="44"/>
          <w:shd w:val="clear" w:color="auto" w:fill="FFFFFF"/>
          <w:lang w:bidi="ar"/>
          <w14:textFill>
            <w14:solidFill>
              <w14:schemeClr w14:val="tx1"/>
            </w14:solidFill>
          </w14:textFill>
        </w:rPr>
      </w:pPr>
    </w:p>
    <w:p w14:paraId="74212206">
      <w:pPr>
        <w:pStyle w:val="2"/>
        <w:jc w:val="both"/>
        <w:rPr>
          <w:rFonts w:hint="eastAsia" w:ascii="黑体" w:hAnsi="黑体" w:cs="黑体"/>
          <w:bCs/>
          <w:color w:val="000000" w:themeColor="text1"/>
          <w:sz w:val="44"/>
          <w:szCs w:val="44"/>
          <w:shd w:val="clear" w:color="auto" w:fill="FFFFFF"/>
          <w:lang w:bidi="ar"/>
          <w14:textFill>
            <w14:solidFill>
              <w14:schemeClr w14:val="tx1"/>
            </w14:solidFill>
          </w14:textFill>
        </w:rPr>
      </w:pPr>
    </w:p>
    <w:p w14:paraId="36233C43">
      <w:pPr>
        <w:pStyle w:val="2"/>
        <w:jc w:val="both"/>
        <w:rPr>
          <w:rFonts w:hint="eastAsia" w:ascii="黑体" w:hAnsi="黑体" w:cs="黑体"/>
          <w:bCs/>
          <w:color w:val="000000" w:themeColor="text1"/>
          <w:sz w:val="44"/>
          <w:szCs w:val="44"/>
          <w:shd w:val="clear" w:color="auto" w:fill="FFFFFF"/>
          <w:lang w:bidi="ar"/>
          <w14:textFill>
            <w14:solidFill>
              <w14:schemeClr w14:val="tx1"/>
            </w14:solidFill>
          </w14:textFill>
        </w:rPr>
      </w:pPr>
    </w:p>
    <w:p w14:paraId="00CBA864">
      <w:pPr>
        <w:spacing w:line="480" w:lineRule="auto"/>
        <w:jc w:val="center"/>
        <w:rPr>
          <w:rFonts w:hint="eastAsia" w:ascii="黑体" w:hAnsi="黑体" w:eastAsia="黑体"/>
          <w:b/>
          <w:color w:val="000000" w:themeColor="text1"/>
          <w:sz w:val="44"/>
          <w:szCs w:val="44"/>
          <w14:textFill>
            <w14:solidFill>
              <w14:schemeClr w14:val="tx1"/>
            </w14:solidFill>
          </w14:textFill>
        </w:rPr>
      </w:pPr>
      <w:bookmarkStart w:id="18" w:name="_GoBack"/>
      <w:r>
        <w:rPr>
          <w:rFonts w:hint="eastAsia" w:ascii="黑体" w:hAnsi="黑体" w:eastAsia="黑体" w:cs="黑体"/>
          <w:b/>
          <w:bCs/>
          <w:color w:val="000000" w:themeColor="text1"/>
          <w:sz w:val="44"/>
          <w:szCs w:val="44"/>
          <w:shd w:val="clear" w:color="auto" w:fill="FFFFFF"/>
          <w:lang w:bidi="ar"/>
          <w14:textFill>
            <w14:solidFill>
              <w14:schemeClr w14:val="tx1"/>
            </w14:solidFill>
          </w14:textFill>
        </w:rPr>
        <w:t>建筑施工安全生产责任保险事故预防技术服务采购竞争性磋商</w:t>
      </w:r>
      <w:r>
        <w:rPr>
          <w:rFonts w:hint="eastAsia" w:ascii="黑体" w:hAnsi="黑体" w:eastAsia="黑体"/>
          <w:b/>
          <w:color w:val="000000" w:themeColor="text1"/>
          <w:sz w:val="44"/>
          <w:szCs w:val="44"/>
          <w14:textFill>
            <w14:solidFill>
              <w14:schemeClr w14:val="tx1"/>
            </w14:solidFill>
          </w14:textFill>
        </w:rPr>
        <w:t>文件</w:t>
      </w:r>
    </w:p>
    <w:bookmarkEnd w:id="18"/>
    <w:p w14:paraId="2007B3D6">
      <w:pPr>
        <w:rPr>
          <w:rFonts w:hint="eastAsia" w:ascii="黑体" w:hAnsi="黑体" w:eastAsia="黑体"/>
          <w:b/>
          <w:color w:val="000000" w:themeColor="text1"/>
          <w:sz w:val="44"/>
          <w:szCs w:val="44"/>
          <w14:textFill>
            <w14:solidFill>
              <w14:schemeClr w14:val="tx1"/>
            </w14:solidFill>
          </w14:textFill>
        </w:rPr>
      </w:pPr>
      <w:r>
        <w:rPr>
          <w:rFonts w:hint="eastAsia" w:ascii="黑体" w:hAnsi="黑体" w:eastAsia="黑体"/>
          <w:b/>
          <w:color w:val="000000" w:themeColor="text1"/>
          <w:sz w:val="44"/>
          <w:szCs w:val="44"/>
          <w14:textFill>
            <w14:solidFill>
              <w14:schemeClr w14:val="tx1"/>
            </w14:solidFill>
          </w14:textFill>
        </w:rPr>
        <w:t xml:space="preserve">               </w:t>
      </w:r>
    </w:p>
    <w:p w14:paraId="628AD25D">
      <w:pPr>
        <w:rPr>
          <w:rFonts w:hint="eastAsia" w:ascii="黑体" w:hAnsi="黑体" w:eastAsia="黑体"/>
          <w:b/>
          <w:color w:val="000000" w:themeColor="text1"/>
          <w:sz w:val="44"/>
          <w:szCs w:val="44"/>
          <w14:textFill>
            <w14:solidFill>
              <w14:schemeClr w14:val="tx1"/>
            </w14:solidFill>
          </w14:textFill>
        </w:rPr>
      </w:pPr>
    </w:p>
    <w:p w14:paraId="02B512EB">
      <w:pPr>
        <w:ind w:firstLine="3534" w:firstLineChars="800"/>
        <w:rPr>
          <w:rFonts w:hint="eastAsia" w:ascii="黑体" w:hAnsi="黑体" w:eastAsia="黑体"/>
          <w:b/>
          <w:color w:val="000000" w:themeColor="text1"/>
          <w:sz w:val="44"/>
          <w:szCs w:val="44"/>
          <w14:textFill>
            <w14:solidFill>
              <w14:schemeClr w14:val="tx1"/>
            </w14:solidFill>
          </w14:textFill>
        </w:rPr>
      </w:pPr>
      <w:r>
        <w:rPr>
          <w:rFonts w:hint="eastAsia" w:ascii="黑体" w:hAnsi="黑体" w:eastAsia="黑体"/>
          <w:b/>
          <w:color w:val="000000" w:themeColor="text1"/>
          <w:sz w:val="44"/>
          <w:szCs w:val="44"/>
          <w14:textFill>
            <w14:solidFill>
              <w14:schemeClr w14:val="tx1"/>
            </w14:solidFill>
          </w14:textFill>
        </w:rPr>
        <w:t xml:space="preserve"> </w:t>
      </w:r>
    </w:p>
    <w:p w14:paraId="77A363FC">
      <w:pPr>
        <w:rPr>
          <w:rFonts w:ascii="Arial" w:hAnsi="Arial" w:eastAsia="隶书"/>
          <w:color w:val="000000" w:themeColor="text1"/>
          <w:sz w:val="52"/>
          <w14:textFill>
            <w14:solidFill>
              <w14:schemeClr w14:val="tx1"/>
            </w14:solidFill>
          </w14:textFill>
        </w:rPr>
      </w:pPr>
    </w:p>
    <w:p w14:paraId="523FB79B">
      <w:pPr>
        <w:rPr>
          <w:rFonts w:ascii="Arial" w:hAnsi="Arial" w:eastAsia="隶书"/>
          <w:color w:val="000000" w:themeColor="text1"/>
          <w:sz w:val="52"/>
          <w14:textFill>
            <w14:solidFill>
              <w14:schemeClr w14:val="tx1"/>
            </w14:solidFill>
          </w14:textFill>
        </w:rPr>
      </w:pPr>
    </w:p>
    <w:p w14:paraId="717385DB">
      <w:pPr>
        <w:rPr>
          <w:rFonts w:ascii="Arial" w:hAnsi="Arial" w:eastAsia="隶书"/>
          <w:color w:val="000000" w:themeColor="text1"/>
          <w:sz w:val="52"/>
          <w14:textFill>
            <w14:solidFill>
              <w14:schemeClr w14:val="tx1"/>
            </w14:solidFill>
          </w14:textFill>
        </w:rPr>
      </w:pPr>
    </w:p>
    <w:p w14:paraId="77E30683">
      <w:pPr>
        <w:rPr>
          <w:rFonts w:ascii="Arial" w:hAnsi="Arial" w:eastAsia="隶书"/>
          <w:color w:val="000000" w:themeColor="text1"/>
          <w:sz w:val="52"/>
          <w14:textFill>
            <w14:solidFill>
              <w14:schemeClr w14:val="tx1"/>
            </w14:solidFill>
          </w14:textFill>
        </w:rPr>
      </w:pPr>
    </w:p>
    <w:p w14:paraId="5B7DB56B">
      <w:pPr>
        <w:rPr>
          <w:rFonts w:ascii="Arial" w:hAnsi="Arial" w:eastAsia="隶书"/>
          <w:color w:val="000000" w:themeColor="text1"/>
          <w:sz w:val="52"/>
          <w14:textFill>
            <w14:solidFill>
              <w14:schemeClr w14:val="tx1"/>
            </w14:solidFill>
          </w14:textFill>
        </w:rPr>
      </w:pPr>
    </w:p>
    <w:p w14:paraId="00A59E05">
      <w:pPr>
        <w:rPr>
          <w:rFonts w:ascii="Arial" w:hAnsi="Arial" w:eastAsia="隶书"/>
          <w:color w:val="000000" w:themeColor="text1"/>
          <w:sz w:val="52"/>
          <w14:textFill>
            <w14:solidFill>
              <w14:schemeClr w14:val="tx1"/>
            </w14:solidFill>
          </w14:textFill>
        </w:rPr>
      </w:pPr>
    </w:p>
    <w:p w14:paraId="6CABD89E">
      <w:pPr>
        <w:rPr>
          <w:rFonts w:ascii="Arial" w:hAnsi="Arial" w:eastAsia="隶书"/>
          <w:color w:val="000000" w:themeColor="text1"/>
          <w:sz w:val="52"/>
          <w14:textFill>
            <w14:solidFill>
              <w14:schemeClr w14:val="tx1"/>
            </w14:solidFill>
          </w14:textFill>
        </w:rPr>
      </w:pPr>
    </w:p>
    <w:p w14:paraId="17A20516">
      <w:pPr>
        <w:rPr>
          <w:rFonts w:ascii="Arial" w:hAnsi="Arial" w:eastAsia="隶书"/>
          <w:color w:val="000000" w:themeColor="text1"/>
          <w:sz w:val="52"/>
          <w14:textFill>
            <w14:solidFill>
              <w14:schemeClr w14:val="tx1"/>
            </w14:solidFill>
          </w14:textFill>
        </w:rPr>
      </w:pPr>
    </w:p>
    <w:p w14:paraId="3DA9DA5C">
      <w:pPr>
        <w:ind w:firstLine="1205" w:firstLineChars="400"/>
        <w:rPr>
          <w:rFonts w:ascii="黑体" w:hAnsi="Arial" w:eastAsia="黑体" w:cs="Times New Roman"/>
          <w:b/>
          <w:color w:val="000000" w:themeColor="text1"/>
          <w:sz w:val="30"/>
          <w:szCs w:val="30"/>
          <w:u w:val="single"/>
          <w14:textFill>
            <w14:solidFill>
              <w14:schemeClr w14:val="tx1"/>
            </w14:solidFill>
          </w14:textFill>
        </w:rPr>
      </w:pPr>
      <w:r>
        <w:rPr>
          <w:rFonts w:hint="eastAsia" w:ascii="黑体" w:hAnsi="Arial" w:eastAsia="黑体"/>
          <w:b/>
          <w:color w:val="000000" w:themeColor="text1"/>
          <w:sz w:val="30"/>
          <w:szCs w:val="30"/>
          <w14:textFill>
            <w14:solidFill>
              <w14:schemeClr w14:val="tx1"/>
            </w14:solidFill>
          </w14:textFill>
        </w:rPr>
        <w:t>采  购  人：郎溪县建设工程监理协会</w:t>
      </w:r>
    </w:p>
    <w:p w14:paraId="382ACC32">
      <w:pPr>
        <w:jc w:val="center"/>
        <w:rPr>
          <w:rFonts w:hint="eastAsia" w:ascii="黑体" w:hAnsi="黑体" w:eastAsia="黑体"/>
          <w:b/>
          <w:color w:val="000000" w:themeColor="text1"/>
          <w:sz w:val="30"/>
          <w:szCs w:val="30"/>
          <w14:textFill>
            <w14:solidFill>
              <w14:schemeClr w14:val="tx1"/>
            </w14:solidFill>
          </w14:textFill>
        </w:rPr>
      </w:pPr>
      <w:r>
        <w:rPr>
          <w:rFonts w:hint="eastAsia" w:ascii="黑体" w:hAnsi="黑体" w:eastAsia="黑体"/>
          <w:b/>
          <w:color w:val="000000" w:themeColor="text1"/>
          <w:sz w:val="30"/>
          <w:szCs w:val="30"/>
          <w14:textFill>
            <w14:solidFill>
              <w14:schemeClr w14:val="tx1"/>
            </w14:solidFill>
          </w14:textFill>
        </w:rPr>
        <w:t xml:space="preserve">      二〇二六年十月</w:t>
      </w:r>
    </w:p>
    <w:p w14:paraId="5CE86CA9">
      <w:pPr>
        <w:rPr>
          <w:rFonts w:ascii="黑体" w:eastAsia="黑体"/>
          <w:color w:val="000000" w:themeColor="text1"/>
          <w:sz w:val="32"/>
          <w:szCs w:val="32"/>
          <w14:textFill>
            <w14:solidFill>
              <w14:schemeClr w14:val="tx1"/>
            </w14:solidFill>
          </w14:textFill>
        </w:rPr>
        <w:sectPr>
          <w:footerReference r:id="rId3" w:type="default"/>
          <w:pgSz w:w="11905" w:h="16840"/>
          <w:pgMar w:top="1440" w:right="1800" w:bottom="1440" w:left="1800" w:header="720" w:footer="720" w:gutter="0"/>
          <w:pgNumType w:fmt="numberInDash"/>
          <w:cols w:space="720" w:num="1"/>
        </w:sectPr>
      </w:pPr>
    </w:p>
    <w:p w14:paraId="5B9D68B5">
      <w:pPr>
        <w:widowControl/>
        <w:jc w:val="center"/>
        <w:rPr>
          <w:rFonts w:ascii="黑体" w:eastAsia="黑体"/>
          <w:color w:val="000000" w:themeColor="text1"/>
          <w:sz w:val="40"/>
          <w:szCs w:val="40"/>
          <w14:textFill>
            <w14:solidFill>
              <w14:schemeClr w14:val="tx1"/>
            </w14:solidFill>
          </w14:textFill>
        </w:rPr>
      </w:pPr>
      <w:r>
        <w:rPr>
          <w:rFonts w:hint="eastAsia" w:ascii="黑体" w:eastAsia="黑体"/>
          <w:color w:val="000000" w:themeColor="text1"/>
          <w:sz w:val="40"/>
          <w:szCs w:val="40"/>
          <w14:textFill>
            <w14:solidFill>
              <w14:schemeClr w14:val="tx1"/>
            </w14:solidFill>
          </w14:textFill>
        </w:rPr>
        <w:t>建筑施工安全生产责任保险事故预防技术服务竞争性磋商公告</w:t>
      </w:r>
    </w:p>
    <w:p w14:paraId="40C6D560">
      <w:pPr>
        <w:widowControl/>
        <w:rPr>
          <w:rFonts w:hint="eastAsia" w:ascii="宋体" w:hAnsi="宋体" w:cs="宋体"/>
          <w:color w:val="000000" w:themeColor="text1"/>
          <w:sz w:val="23"/>
          <w:szCs w:val="23"/>
          <w:u w:val="single"/>
          <w14:textFill>
            <w14:solidFill>
              <w14:schemeClr w14:val="tx1"/>
            </w14:solidFill>
          </w14:textFill>
        </w:rPr>
      </w:pPr>
    </w:p>
    <w:p w14:paraId="26F493C0">
      <w:pPr>
        <w:widowControl/>
        <w:spacing w:line="360" w:lineRule="auto"/>
        <w:ind w:firstLine="560" w:firstLineChars="200"/>
        <w:rPr>
          <w:rFonts w:hint="eastAsia" w:ascii="宋体" w:hAnsi="宋体" w:cs="宋体"/>
          <w:color w:val="000000" w:themeColor="text1"/>
          <w:sz w:val="28"/>
          <w:szCs w:val="28"/>
          <w:u w:val="single"/>
          <w14:textFill>
            <w14:solidFill>
              <w14:schemeClr w14:val="tx1"/>
            </w14:solidFill>
          </w14:textFill>
        </w:rPr>
      </w:pPr>
      <w:r>
        <w:rPr>
          <w:rFonts w:hint="eastAsia" w:ascii="宋体" w:hAnsi="宋体" w:cs="宋体"/>
          <w:color w:val="000000" w:themeColor="text1"/>
          <w:sz w:val="28"/>
          <w:szCs w:val="28"/>
          <w:u w:val="single"/>
          <w14:textFill>
            <w14:solidFill>
              <w14:schemeClr w14:val="tx1"/>
            </w14:solidFill>
          </w14:textFill>
        </w:rPr>
        <w:t>根据郎溪县建设工程监理协会、安徽国元保险经纪股份有限公司、中国人民财产保险股份有限公司宣城市分公司等保险公司共同签署的《安全生产责任保险业务合作协议》，由郎溪县建设工程监理协会牵头，安徽国元保险经纪股份有限公司宣城分公司、中国人民财产保险股份有限公司宣城市分公司、国元农业保险股份有限公司宣城中心支公司、中国人寿财产保险股份有限公司宣城市中心支公司和申能财产保险股份有限公司宣城中心支公司共同参与，通过竞争性磋商的形式，选择有资质、有能力的事故预防技术服务机构，</w:t>
      </w:r>
      <w:r>
        <w:rPr>
          <w:rFonts w:hint="eastAsia" w:ascii="宋体" w:hAnsi="宋体" w:cs="宋体"/>
          <w:color w:val="000000" w:themeColor="text1"/>
          <w:sz w:val="28"/>
          <w:szCs w:val="28"/>
          <w14:textFill>
            <w14:solidFill>
              <w14:schemeClr w14:val="tx1"/>
            </w14:solidFill>
          </w14:textFill>
        </w:rPr>
        <w:t>欢迎具备条件的供应商参加。</w:t>
      </w:r>
    </w:p>
    <w:p w14:paraId="0FD4F85B">
      <w:pPr>
        <w:widowControl/>
        <w:spacing w:line="360" w:lineRule="auto"/>
        <w:ind w:firstLine="464"/>
        <w:rPr>
          <w:rFonts w:hint="eastAsia" w:ascii="宋体" w:hAnsi="宋体" w:cs="宋体"/>
          <w:color w:val="000000" w:themeColor="text1"/>
          <w:sz w:val="28"/>
          <w:szCs w:val="28"/>
          <w14:textFill>
            <w14:solidFill>
              <w14:schemeClr w14:val="tx1"/>
            </w14:solidFill>
          </w14:textFill>
        </w:rPr>
      </w:pPr>
      <w:r>
        <w:rPr>
          <w:rFonts w:hint="eastAsia" w:ascii="宋体" w:hAnsi="宋体" w:cs="宋体"/>
          <w:b/>
          <w:bCs/>
          <w:color w:val="000000" w:themeColor="text1"/>
          <w:sz w:val="28"/>
          <w:szCs w:val="28"/>
          <w14:textFill>
            <w14:solidFill>
              <w14:schemeClr w14:val="tx1"/>
            </w14:solidFill>
          </w14:textFill>
        </w:rPr>
        <w:t>一、项目名称：</w:t>
      </w:r>
      <w:r>
        <w:rPr>
          <w:rFonts w:hint="eastAsia" w:ascii="宋体" w:hAnsi="宋体" w:eastAsia="宋体" w:cs="宋体"/>
          <w:color w:val="000000" w:themeColor="text1"/>
          <w:sz w:val="28"/>
          <w:szCs w:val="28"/>
          <w14:textFill>
            <w14:solidFill>
              <w14:schemeClr w14:val="tx1"/>
            </w14:solidFill>
          </w14:textFill>
        </w:rPr>
        <w:t>建筑施工安全生产责任保险事故预防技术服务采购</w:t>
      </w:r>
      <w:r>
        <w:rPr>
          <w:rFonts w:hint="eastAsia" w:ascii="宋体" w:hAnsi="宋体" w:cs="宋体"/>
          <w:color w:val="000000" w:themeColor="text1"/>
          <w:sz w:val="28"/>
          <w:szCs w:val="28"/>
          <w14:textFill>
            <w14:solidFill>
              <w14:schemeClr w14:val="tx1"/>
            </w14:solidFill>
          </w14:textFill>
        </w:rPr>
        <w:t>项目；</w:t>
      </w:r>
    </w:p>
    <w:p w14:paraId="78487919">
      <w:pPr>
        <w:widowControl/>
        <w:spacing w:line="360" w:lineRule="auto"/>
        <w:ind w:firstLine="1124" w:firstLineChars="400"/>
        <w:rPr>
          <w:color w:val="000000" w:themeColor="text1"/>
          <w:sz w:val="28"/>
          <w:szCs w:val="28"/>
          <w:u w:val="single"/>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地址</w:t>
      </w:r>
      <w:r>
        <w:rPr>
          <w:rFonts w:hint="eastAsia" w:ascii="宋体" w:hAnsi="宋体" w:cs="宋体"/>
          <w:b/>
          <w:bCs/>
          <w:color w:val="000000" w:themeColor="text1"/>
          <w:sz w:val="28"/>
          <w:szCs w:val="28"/>
          <w14:textFill>
            <w14:solidFill>
              <w14:schemeClr w14:val="tx1"/>
            </w14:solidFill>
          </w14:textFill>
        </w:rPr>
        <w:t>：安徽省郎溪县建平镇中港路110号中国人民财产保险公司郎溪县支公司4楼会议室</w:t>
      </w:r>
      <w:r>
        <w:rPr>
          <w:rFonts w:hint="eastAsia" w:ascii="宋体" w:hAnsi="宋体" w:cs="宋体"/>
          <w:color w:val="000000" w:themeColor="text1"/>
          <w:sz w:val="28"/>
          <w:szCs w:val="28"/>
          <w14:textFill>
            <w14:solidFill>
              <w14:schemeClr w14:val="tx1"/>
            </w14:solidFill>
          </w14:textFill>
        </w:rPr>
        <w:t>；</w:t>
      </w:r>
    </w:p>
    <w:p w14:paraId="0F5A9D36">
      <w:pPr>
        <w:widowControl/>
        <w:spacing w:line="360" w:lineRule="auto"/>
        <w:ind w:firstLine="562" w:firstLineChars="200"/>
        <w:rPr>
          <w:rFonts w:hint="eastAsia" w:ascii="宋体" w:hAnsi="宋体" w:cs="宋体"/>
          <w:bCs/>
          <w:color w:val="000000" w:themeColor="text1"/>
          <w:sz w:val="28"/>
          <w:szCs w:val="28"/>
          <w:u w:val="single"/>
          <w14:textFill>
            <w14:solidFill>
              <w14:schemeClr w14:val="tx1"/>
            </w14:solidFill>
          </w14:textFill>
        </w:rPr>
      </w:pPr>
      <w:r>
        <w:rPr>
          <w:rFonts w:hint="eastAsia" w:ascii="宋体" w:hAnsi="宋体" w:cs="宋体"/>
          <w:b/>
          <w:bCs/>
          <w:color w:val="000000" w:themeColor="text1"/>
          <w:sz w:val="28"/>
          <w:szCs w:val="28"/>
          <w14:textFill>
            <w14:solidFill>
              <w14:schemeClr w14:val="tx1"/>
            </w14:solidFill>
          </w14:textFill>
        </w:rPr>
        <w:t>二、项目规模：郎溪县建设工程监理协会及其委托建筑业企业的安责险事故预防服务；</w:t>
      </w:r>
    </w:p>
    <w:p w14:paraId="224DCE1A">
      <w:pPr>
        <w:widowControl/>
        <w:spacing w:line="360" w:lineRule="auto"/>
        <w:ind w:firstLine="562"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三、采购方式：</w:t>
      </w:r>
      <w:r>
        <w:rPr>
          <w:rFonts w:hint="eastAsia" w:ascii="宋体" w:hAnsi="宋体" w:cs="宋体"/>
          <w:color w:val="000000" w:themeColor="text1"/>
          <w:sz w:val="28"/>
          <w:szCs w:val="28"/>
          <w14:textFill>
            <w14:solidFill>
              <w14:schemeClr w14:val="tx1"/>
            </w14:solidFill>
          </w14:textFill>
        </w:rPr>
        <w:t>竞争性磋商；</w:t>
      </w:r>
    </w:p>
    <w:p w14:paraId="1DE878BD">
      <w:pPr>
        <w:widowControl/>
        <w:spacing w:line="360" w:lineRule="auto"/>
        <w:ind w:firstLine="562" w:firstLineChars="200"/>
        <w:rPr>
          <w:rFonts w:hint="eastAsia"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四、项目内容：</w:t>
      </w:r>
    </w:p>
    <w:p w14:paraId="7A6CB476">
      <w:pPr>
        <w:spacing w:line="360" w:lineRule="auto"/>
        <w:ind w:firstLine="560" w:firstLineChars="200"/>
        <w:rPr>
          <w:rFonts w:hint="eastAsia" w:ascii="宋体" w:hAnsi="宋体" w:eastAsia="宋体" w:cs="宋体"/>
          <w:bCs/>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shd w:val="clear" w:color="auto" w:fill="FFFFFF"/>
          <w:lang w:bidi="ar"/>
          <w14:textFill>
            <w14:solidFill>
              <w14:schemeClr w14:val="tx1"/>
            </w14:solidFill>
          </w14:textFill>
        </w:rPr>
        <w:t>本项目所称事故预防第三方技术服务机构，是指受保险机构委托，为被保险人提供事故预防技术服务的机构，包括安全生产技术与管理咨询、安全评价、安全培训及相关风险防控管理等。</w:t>
      </w:r>
    </w:p>
    <w:p w14:paraId="37540FD9">
      <w:pPr>
        <w:spacing w:line="360" w:lineRule="auto"/>
        <w:ind w:firstLine="562" w:firstLineChars="200"/>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五、相关要求：</w:t>
      </w:r>
    </w:p>
    <w:p w14:paraId="2EF0D0C6">
      <w:pPr>
        <w:spacing w:before="120" w:after="120" w:line="360" w:lineRule="auto"/>
        <w:ind w:firstLine="280" w:firstLineChars="1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1.满足《中华人民共和国政府采购法》第二十二条规定：</w:t>
      </w:r>
    </w:p>
    <w:p w14:paraId="678606B5">
      <w:pPr>
        <w:spacing w:before="120" w:after="120" w:line="360" w:lineRule="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 （1）具有独立承担民事责任的能力；</w:t>
      </w:r>
    </w:p>
    <w:p w14:paraId="1BBC323C">
      <w:pPr>
        <w:spacing w:before="120" w:after="120" w:line="360" w:lineRule="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 （2）具有良好的商业信誉和健全的财务会计制度；</w:t>
      </w:r>
    </w:p>
    <w:p w14:paraId="1DDFF187">
      <w:pPr>
        <w:spacing w:before="120" w:after="120" w:line="360" w:lineRule="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 （3）具有履行合同所必需的设备和专业技术能力；</w:t>
      </w:r>
    </w:p>
    <w:p w14:paraId="334197B1">
      <w:pPr>
        <w:spacing w:before="120" w:after="120" w:line="360" w:lineRule="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 （4）有依法缴纳税收和社会保障资金的良好记录；</w:t>
      </w:r>
    </w:p>
    <w:p w14:paraId="76653E5C">
      <w:pPr>
        <w:spacing w:before="120" w:after="120" w:line="360" w:lineRule="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 （5）参加政府采购活动前三年内，在经营活动中没有重大违法记录；</w:t>
      </w:r>
    </w:p>
    <w:p w14:paraId="25164031">
      <w:pPr>
        <w:spacing w:before="120" w:after="120" w:line="360" w:lineRule="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 （6）法律、行政法规规定的其他条件。</w:t>
      </w:r>
    </w:p>
    <w:p w14:paraId="61A95983">
      <w:pPr>
        <w:spacing w:before="120" w:after="120" w:line="360" w:lineRule="auto"/>
        <w:ind w:firstLine="280" w:firstLineChars="1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2.落实政府采购政策需满足的资格要求：本项目</w:t>
      </w:r>
      <w:r>
        <w:rPr>
          <w:rFonts w:hint="eastAsia" w:ascii="宋体" w:hAnsi="宋体" w:cs="宋体"/>
          <w:color w:val="000000" w:themeColor="text1"/>
          <w:sz w:val="28"/>
          <w:szCs w:val="28"/>
          <w14:textFill>
            <w14:solidFill>
              <w14:schemeClr w14:val="tx1"/>
            </w14:solidFill>
          </w14:textFill>
        </w:rPr>
        <w:t>面向</w:t>
      </w:r>
      <w:r>
        <w:rPr>
          <w:rFonts w:hint="eastAsia" w:ascii="宋体" w:hAnsi="宋体" w:eastAsia="宋体" w:cs="宋体"/>
          <w:color w:val="000000" w:themeColor="text1"/>
          <w:sz w:val="28"/>
          <w:szCs w:val="28"/>
          <w14:textFill>
            <w14:solidFill>
              <w14:schemeClr w14:val="tx1"/>
            </w14:solidFill>
          </w14:textFill>
        </w:rPr>
        <w:t>中小企业采购，供应商按规定提供相关证明材料。</w:t>
      </w:r>
    </w:p>
    <w:p w14:paraId="38DBDBE5">
      <w:pPr>
        <w:spacing w:before="120" w:after="120" w:line="360" w:lineRule="auto"/>
        <w:ind w:firstLine="280" w:firstLineChars="1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3.本项目特定资格要求：</w:t>
      </w:r>
    </w:p>
    <w:p w14:paraId="658FA9D8">
      <w:pPr>
        <w:spacing w:before="120" w:after="120" w:line="360" w:lineRule="auto"/>
        <w:rPr>
          <w:rFonts w:hint="eastAsia" w:ascii="宋体" w:hAnsi="宋体" w:eastAsia="宋体" w:cs="宋体"/>
          <w:sz w:val="28"/>
          <w:szCs w:val="28"/>
        </w:rPr>
      </w:pPr>
      <w:r>
        <w:rPr>
          <w:rFonts w:hint="eastAsia" w:ascii="宋体" w:hAnsi="宋体" w:eastAsia="宋体" w:cs="宋体"/>
          <w:color w:val="000000" w:themeColor="text1"/>
          <w:sz w:val="28"/>
          <w:szCs w:val="28"/>
          <w14:textFill>
            <w14:solidFill>
              <w14:schemeClr w14:val="tx1"/>
            </w14:solidFill>
          </w14:textFill>
        </w:rPr>
        <w:t xml:space="preserve"> </w:t>
      </w:r>
      <w:r>
        <w:rPr>
          <w:rFonts w:hint="eastAsia" w:ascii="宋体" w:hAnsi="宋体" w:eastAsia="宋体" w:cs="宋体"/>
          <w:sz w:val="28"/>
          <w:szCs w:val="28"/>
        </w:rPr>
        <w:t>（1）供应商须具备工程项目管理、工程技术服务咨询相关资质，及拥有专业事故预防、安全生产管理服务团队；</w:t>
      </w:r>
    </w:p>
    <w:p w14:paraId="5373B283">
      <w:pPr>
        <w:spacing w:before="120" w:after="120" w:line="360" w:lineRule="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sz w:val="28"/>
          <w:szCs w:val="28"/>
        </w:rPr>
        <w:t xml:space="preserve"> （2）项目负责人须具备[建筑工程专业一级或以上相关职称]，且从事事故预防或安全管</w:t>
      </w:r>
      <w:r>
        <w:rPr>
          <w:rFonts w:hint="eastAsia" w:ascii="宋体" w:hAnsi="宋体" w:eastAsia="宋体" w:cs="宋体"/>
          <w:color w:val="000000" w:themeColor="text1"/>
          <w:sz w:val="28"/>
          <w:szCs w:val="28"/>
          <w14:textFill>
            <w14:solidFill>
              <w14:schemeClr w14:val="tx1"/>
            </w14:solidFill>
          </w14:textFill>
        </w:rPr>
        <w:t>理相关工作不少于5年；</w:t>
      </w:r>
    </w:p>
    <w:p w14:paraId="18942CC6">
      <w:pPr>
        <w:spacing w:before="120" w:after="120" w:line="360" w:lineRule="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 （3）供应商近3年内具有同类事故预防、安全生产咨询服务业绩（提供合同等证明材料）；</w:t>
      </w:r>
    </w:p>
    <w:p w14:paraId="078671F6">
      <w:pPr>
        <w:spacing w:before="120" w:after="120" w:line="360" w:lineRule="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 （4）未被列入“信用中国”网站失信被执行人名单、重大税收违法失信主体，未被列入中国政府采购网政府采购严重违法失信行为记录名单；</w:t>
      </w:r>
    </w:p>
    <w:p w14:paraId="4BCEAF87">
      <w:pPr>
        <w:pStyle w:val="2"/>
        <w:spacing w:line="360" w:lineRule="auto"/>
        <w:ind w:firstLine="280" w:firstLineChars="100"/>
        <w:jc w:val="both"/>
        <w:rPr>
          <w:rFonts w:hint="eastAsia" w:ascii="宋体" w:hAnsi="宋体" w:eastAsia="宋体" w:cs="宋体"/>
          <w:b w:val="0"/>
          <w:bCs/>
          <w:color w:val="000000" w:themeColor="text1"/>
          <w:sz w:val="28"/>
          <w:szCs w:val="28"/>
          <w14:textFill>
            <w14:solidFill>
              <w14:schemeClr w14:val="tx1"/>
            </w14:solidFill>
          </w14:textFill>
        </w:rPr>
      </w:pPr>
      <w:r>
        <w:rPr>
          <w:rFonts w:hint="eastAsia" w:ascii="宋体" w:hAnsi="宋体" w:eastAsia="宋体" w:cs="宋体"/>
          <w:b w:val="0"/>
          <w:bCs/>
          <w:color w:val="000000" w:themeColor="text1"/>
          <w:sz w:val="28"/>
          <w:szCs w:val="28"/>
          <w14:textFill>
            <w14:solidFill>
              <w14:schemeClr w14:val="tx1"/>
            </w14:solidFill>
          </w14:textFill>
        </w:rPr>
        <w:t>（5）本项目不接受联合体投标，不允许分包、转包。</w:t>
      </w:r>
    </w:p>
    <w:p w14:paraId="53309A9E">
      <w:pPr>
        <w:spacing w:line="360" w:lineRule="auto"/>
        <w:ind w:firstLine="562" w:firstLineChars="200"/>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六、投标文件递交：</w:t>
      </w:r>
    </w:p>
    <w:p w14:paraId="0AA891AB">
      <w:pPr>
        <w:spacing w:line="360" w:lineRule="auto"/>
        <w:rPr>
          <w:rFonts w:hint="eastAsia" w:ascii="宋体" w:hAnsi="宋体" w:cs="宋体"/>
          <w:bCs/>
          <w:color w:val="000000" w:themeColor="text1"/>
          <w:sz w:val="28"/>
          <w:szCs w:val="28"/>
          <w14:textFill>
            <w14:solidFill>
              <w14:schemeClr w14:val="tx1"/>
            </w14:solidFill>
          </w14:textFill>
        </w:rPr>
      </w:pPr>
      <w:r>
        <w:rPr>
          <w:rFonts w:hint="eastAsia" w:ascii="宋体" w:hAnsi="宋体" w:cs="宋体"/>
          <w:bCs/>
          <w:color w:val="000000" w:themeColor="text1"/>
          <w:sz w:val="28"/>
          <w:szCs w:val="28"/>
          <w14:textFill>
            <w14:solidFill>
              <w14:schemeClr w14:val="tx1"/>
            </w14:solidFill>
          </w14:textFill>
        </w:rPr>
        <w:t xml:space="preserve">    1.投标文件递交截止时间：2026年11月2日15时整；</w:t>
      </w:r>
    </w:p>
    <w:p w14:paraId="7FE900AB">
      <w:pPr>
        <w:spacing w:line="360" w:lineRule="auto"/>
        <w:ind w:firstLine="560" w:firstLineChars="200"/>
        <w:rPr>
          <w:rFonts w:hint="eastAsia" w:ascii="宋体" w:hAnsi="宋体" w:cs="宋体"/>
          <w:bCs/>
          <w:color w:val="000000" w:themeColor="text1"/>
          <w:sz w:val="28"/>
          <w:szCs w:val="28"/>
          <w14:textFill>
            <w14:solidFill>
              <w14:schemeClr w14:val="tx1"/>
            </w14:solidFill>
          </w14:textFill>
        </w:rPr>
      </w:pPr>
      <w:r>
        <w:rPr>
          <w:rFonts w:hint="eastAsia" w:ascii="宋体" w:hAnsi="宋体" w:cs="宋体"/>
          <w:bCs/>
          <w:color w:val="000000" w:themeColor="text1"/>
          <w:sz w:val="28"/>
          <w:szCs w:val="28"/>
          <w14:textFill>
            <w14:solidFill>
              <w14:schemeClr w14:val="tx1"/>
            </w14:solidFill>
          </w14:textFill>
        </w:rPr>
        <w:t>2.送达地址：</w:t>
      </w:r>
      <w:r>
        <w:rPr>
          <w:rFonts w:hint="eastAsia" w:ascii="宋体" w:hAnsi="宋体" w:cs="宋体"/>
          <w:bCs/>
          <w:color w:val="000000" w:themeColor="text1"/>
          <w:sz w:val="28"/>
          <w:szCs w:val="28"/>
          <w:u w:val="single"/>
          <w14:textFill>
            <w14:solidFill>
              <w14:schemeClr w14:val="tx1"/>
            </w14:solidFill>
          </w14:textFill>
        </w:rPr>
        <w:t>安徽省郎溪县建平镇中港路110号中国人民财产保险公司郎溪县支公司4楼会议室</w:t>
      </w:r>
      <w:r>
        <w:rPr>
          <w:rFonts w:hint="eastAsia" w:ascii="宋体" w:hAnsi="宋体" w:cs="宋体"/>
          <w:bCs/>
          <w:color w:val="000000" w:themeColor="text1"/>
          <w:sz w:val="28"/>
          <w:szCs w:val="28"/>
          <w14:textFill>
            <w14:solidFill>
              <w14:schemeClr w14:val="tx1"/>
            </w14:solidFill>
          </w14:textFill>
        </w:rPr>
        <w:t>。</w:t>
      </w:r>
    </w:p>
    <w:p w14:paraId="28CB9F20">
      <w:pPr>
        <w:spacing w:line="360" w:lineRule="auto"/>
        <w:ind w:firstLine="560" w:firstLineChars="200"/>
        <w:rPr>
          <w:rFonts w:hint="eastAsia" w:ascii="宋体" w:hAnsi="宋体" w:cs="宋体"/>
          <w:b/>
          <w:color w:val="000000" w:themeColor="text1"/>
          <w:sz w:val="28"/>
          <w:szCs w:val="28"/>
          <w14:textFill>
            <w14:solidFill>
              <w14:schemeClr w14:val="tx1"/>
            </w14:solidFill>
          </w14:textFill>
        </w:rPr>
      </w:pPr>
      <w:r>
        <w:rPr>
          <w:rFonts w:hint="eastAsia" w:ascii="宋体" w:hAnsi="宋体" w:cs="宋体"/>
          <w:bCs/>
          <w:color w:val="000000" w:themeColor="text1"/>
          <w:sz w:val="28"/>
          <w:szCs w:val="28"/>
          <w14:textFill>
            <w14:solidFill>
              <w14:schemeClr w14:val="tx1"/>
            </w14:solidFill>
          </w14:textFill>
        </w:rPr>
        <w:t>3.逾期送达的或者未送达指定地点的投标文件，招标人不予受理。</w:t>
      </w:r>
    </w:p>
    <w:p w14:paraId="26A463F8">
      <w:pPr>
        <w:spacing w:line="360" w:lineRule="auto"/>
        <w:ind w:firstLine="562" w:firstLineChars="200"/>
        <w:rPr>
          <w:rFonts w:hint="eastAsia" w:ascii="宋体" w:hAnsi="宋体" w:cs="宋体"/>
          <w:color w:val="000000" w:themeColor="text1"/>
          <w:sz w:val="28"/>
          <w:szCs w:val="28"/>
          <w14:textFill>
            <w14:solidFill>
              <w14:schemeClr w14:val="tx1"/>
            </w14:solidFill>
          </w14:textFill>
        </w:rPr>
      </w:pPr>
      <w:r>
        <w:rPr>
          <w:rFonts w:hint="eastAsia" w:ascii="宋体" w:hAnsi="宋体" w:cs="宋体"/>
          <w:b/>
          <w:bCs/>
          <w:color w:val="000000" w:themeColor="text1"/>
          <w:sz w:val="28"/>
          <w:szCs w:val="28"/>
          <w14:textFill>
            <w14:solidFill>
              <w14:schemeClr w14:val="tx1"/>
            </w14:solidFill>
          </w14:textFill>
        </w:rPr>
        <w:t xml:space="preserve">七、联系方式 </w:t>
      </w:r>
    </w:p>
    <w:p w14:paraId="0B9BF6AA">
      <w:pPr>
        <w:spacing w:line="360" w:lineRule="auto"/>
        <w:ind w:firstLine="560" w:firstLineChars="200"/>
        <w:rPr>
          <w:bCs/>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 xml:space="preserve"> </w:t>
      </w:r>
      <w:r>
        <w:rPr>
          <w:rFonts w:hint="eastAsia" w:ascii="宋体" w:hAnsi="宋体"/>
          <w:color w:val="000000" w:themeColor="text1"/>
          <w:sz w:val="28"/>
          <w:szCs w:val="28"/>
          <w14:textFill>
            <w14:solidFill>
              <w14:schemeClr w14:val="tx1"/>
            </w14:solidFill>
          </w14:textFill>
        </w:rPr>
        <w:t xml:space="preserve">联系人：李先生  </w:t>
      </w:r>
      <w:r>
        <w:rPr>
          <w:rFonts w:hint="eastAsia" w:ascii="宋体" w:hAnsi="宋体" w:cs="宋体"/>
          <w:color w:val="000000" w:themeColor="text1"/>
          <w:sz w:val="28"/>
          <w:szCs w:val="28"/>
          <w14:textFill>
            <w14:solidFill>
              <w14:schemeClr w14:val="tx1"/>
            </w14:solidFill>
          </w14:textFill>
        </w:rPr>
        <w:t>联系</w:t>
      </w:r>
      <w:r>
        <w:rPr>
          <w:rFonts w:hint="eastAsia" w:ascii="宋体" w:hAnsi="宋体"/>
          <w:color w:val="000000" w:themeColor="text1"/>
          <w:sz w:val="28"/>
          <w:szCs w:val="28"/>
          <w14:textFill>
            <w14:solidFill>
              <w14:schemeClr w14:val="tx1"/>
            </w14:solidFill>
          </w14:textFill>
        </w:rPr>
        <w:t>电话： 18356338078</w:t>
      </w:r>
      <w:r>
        <w:rPr>
          <w:rFonts w:hint="eastAsia" w:ascii="宋体" w:hAnsi="宋体" w:cs="宋体"/>
          <w:color w:val="000000" w:themeColor="text1"/>
          <w:sz w:val="28"/>
          <w:szCs w:val="28"/>
          <w14:textFill>
            <w14:solidFill>
              <w14:schemeClr w14:val="tx1"/>
            </w14:solidFill>
          </w14:textFill>
        </w:rPr>
        <w:t xml:space="preserve"> </w:t>
      </w:r>
    </w:p>
    <w:p w14:paraId="79529BDD">
      <w:pPr>
        <w:outlineLvl w:val="1"/>
        <w:rPr>
          <w:rFonts w:ascii="Arial" w:hAnsi="Arial" w:eastAsia="等线" w:cs="Arial"/>
          <w:b/>
          <w:color w:val="000000" w:themeColor="text1"/>
          <w:sz w:val="40"/>
          <w:szCs w:val="28"/>
          <w14:textFill>
            <w14:solidFill>
              <w14:schemeClr w14:val="tx1"/>
            </w14:solidFill>
          </w14:textFill>
        </w:rPr>
        <w:sectPr>
          <w:footerReference r:id="rId4" w:type="default"/>
          <w:pgSz w:w="11905" w:h="16840"/>
          <w:pgMar w:top="1440" w:right="1800" w:bottom="1440" w:left="1800" w:header="720" w:footer="720" w:gutter="0"/>
          <w:pgNumType w:fmt="numberInDash" w:start="1"/>
          <w:cols w:space="720" w:num="1"/>
        </w:sectPr>
      </w:pPr>
    </w:p>
    <w:p w14:paraId="713271C1">
      <w:pPr>
        <w:widowControl/>
        <w:jc w:val="center"/>
        <w:rPr>
          <w:rFonts w:ascii="黑体" w:eastAsia="黑体"/>
          <w:color w:val="000000" w:themeColor="text1"/>
          <w:sz w:val="40"/>
          <w:szCs w:val="40"/>
          <w14:textFill>
            <w14:solidFill>
              <w14:schemeClr w14:val="tx1"/>
            </w14:solidFill>
          </w14:textFill>
        </w:rPr>
      </w:pPr>
      <w:r>
        <w:rPr>
          <w:rFonts w:hint="eastAsia" w:ascii="黑体" w:eastAsia="黑体"/>
          <w:color w:val="000000" w:themeColor="text1"/>
          <w:sz w:val="40"/>
          <w:szCs w:val="40"/>
          <w14:textFill>
            <w14:solidFill>
              <w14:schemeClr w14:val="tx1"/>
            </w14:solidFill>
          </w14:textFill>
        </w:rPr>
        <w:t>建筑施工安全生产责任保险事故预防技术服务竞争性磋商文件</w:t>
      </w:r>
    </w:p>
    <w:p w14:paraId="3742FEB6">
      <w:pPr>
        <w:pStyle w:val="5"/>
        <w:ind w:left="0" w:leftChars="0"/>
        <w:jc w:val="center"/>
        <w:rPr>
          <w:rFonts w:hint="eastAsia" w:ascii="宋体" w:cs="Times New Roman"/>
          <w:bCs/>
          <w:color w:val="000000" w:themeColor="text1"/>
          <w:kern w:val="2"/>
          <w:sz w:val="36"/>
          <w:szCs w:val="36"/>
          <w14:textFill>
            <w14:solidFill>
              <w14:schemeClr w14:val="tx1"/>
            </w14:solidFill>
          </w14:textFill>
        </w:rPr>
      </w:pPr>
    </w:p>
    <w:p w14:paraId="203260DD">
      <w:pPr>
        <w:pStyle w:val="5"/>
        <w:ind w:left="0" w:leftChars="0"/>
        <w:jc w:val="center"/>
        <w:rPr>
          <w:rFonts w:hint="eastAsia" w:ascii="宋体" w:cs="Times New Roman"/>
          <w:bCs/>
          <w:color w:val="000000" w:themeColor="text1"/>
          <w:kern w:val="2"/>
          <w:sz w:val="36"/>
          <w:szCs w:val="36"/>
          <w14:textFill>
            <w14:solidFill>
              <w14:schemeClr w14:val="tx1"/>
            </w14:solidFill>
          </w14:textFill>
        </w:rPr>
      </w:pPr>
      <w:r>
        <w:rPr>
          <w:rFonts w:hint="eastAsia" w:ascii="宋体" w:cs="Times New Roman"/>
          <w:bCs/>
          <w:color w:val="000000" w:themeColor="text1"/>
          <w:kern w:val="2"/>
          <w:sz w:val="36"/>
          <w:szCs w:val="36"/>
          <w14:textFill>
            <w14:solidFill>
              <w14:schemeClr w14:val="tx1"/>
            </w14:solidFill>
          </w14:textFill>
        </w:rPr>
        <w:t>第一章 采购人简介</w:t>
      </w:r>
    </w:p>
    <w:p w14:paraId="47BAC278"/>
    <w:p w14:paraId="62C35AAC">
      <w:pPr>
        <w:snapToGrid w:val="0"/>
        <w:spacing w:line="360" w:lineRule="auto"/>
        <w:ind w:firstLine="560" w:firstLineChars="200"/>
      </w:pPr>
      <w:r>
        <w:rPr>
          <w:rFonts w:hint="eastAsia" w:ascii="宋体" w:hAnsi="宋体" w:cs="宋体"/>
          <w:color w:val="000000" w:themeColor="text1"/>
          <w:sz w:val="28"/>
          <w:szCs w:val="28"/>
          <w14:textFill>
            <w14:solidFill>
              <w14:schemeClr w14:val="tx1"/>
            </w14:solidFill>
          </w14:textFill>
        </w:rPr>
        <w:t>郎溪县建筑工程监理协会，是本县监理企业自愿组建、按章程运行的社团组织，搭建企业与政府沟通交流平台，发挥桥梁纽带作用。现有会员单位5家，全部为本地工程监理企业。协会坚持以习近平新时代中国特色社会主义思想为指导，落实县委、县政府工作部署，宣传行业政策法规，掌握行业发展动态，服务会员企业，推进行业自律，助力郎溪县监理行业规范健康发展。2026年9月，郎溪县建设工程监理协会与国元保险经纪、人保财险宣城市分公司等多家保险公司联合签订了安责险合作协议，共同推进安责险各项工作。</w:t>
      </w:r>
    </w:p>
    <w:p w14:paraId="7B7A5398">
      <w:pPr>
        <w:snapToGrid w:val="0"/>
        <w:rPr>
          <w:rFonts w:hint="eastAsia" w:ascii="宋体" w:hAnsi="宋体" w:cs="宋体"/>
          <w:color w:val="000000" w:themeColor="text1"/>
          <w:sz w:val="24"/>
          <w:szCs w:val="24"/>
          <w14:textFill>
            <w14:solidFill>
              <w14:schemeClr w14:val="tx1"/>
            </w14:solidFill>
          </w14:textFill>
        </w:rPr>
      </w:pPr>
    </w:p>
    <w:p w14:paraId="1EE5E9A1">
      <w:pPr>
        <w:spacing w:before="320" w:after="120"/>
        <w:jc w:val="center"/>
        <w:outlineLvl w:val="1"/>
        <w:rPr>
          <w:rFonts w:hint="eastAsia" w:ascii="宋体" w:hAnsi="宋体" w:eastAsia="宋体" w:cs="宋体"/>
          <w:b/>
          <w:color w:val="000000" w:themeColor="text1"/>
          <w:sz w:val="28"/>
          <w:szCs w:val="28"/>
          <w14:textFill>
            <w14:solidFill>
              <w14:schemeClr w14:val="tx1"/>
            </w14:solidFill>
          </w14:textFill>
        </w:rPr>
      </w:pPr>
      <w:r>
        <w:rPr>
          <w:rFonts w:hint="eastAsia" w:ascii="宋体" w:hAnsi="宋体" w:eastAsia="宋体" w:cs="宋体"/>
          <w:b/>
          <w:color w:val="000000" w:themeColor="text1"/>
          <w:sz w:val="36"/>
          <w:szCs w:val="36"/>
          <w14:textFill>
            <w14:solidFill>
              <w14:schemeClr w14:val="tx1"/>
            </w14:solidFill>
          </w14:textFill>
        </w:rPr>
        <w:t>第二章 供应商须知</w:t>
      </w:r>
      <w:bookmarkEnd w:id="0"/>
    </w:p>
    <w:p w14:paraId="75407F41">
      <w:pPr>
        <w:spacing w:before="300" w:after="120"/>
        <w:ind w:firstLine="562" w:firstLineChars="200"/>
        <w:outlineLvl w:val="2"/>
        <w:rPr>
          <w:rFonts w:hint="eastAsia" w:asciiTheme="minorEastAsia" w:hAnsiTheme="minorEastAsia" w:cstheme="minorEastAsia"/>
          <w:color w:val="000000" w:themeColor="text1"/>
          <w:sz w:val="28"/>
          <w:szCs w:val="28"/>
          <w14:textFill>
            <w14:solidFill>
              <w14:schemeClr w14:val="tx1"/>
            </w14:solidFill>
          </w14:textFill>
        </w:rPr>
      </w:pPr>
      <w:bookmarkStart w:id="1" w:name="heading_10"/>
      <w:r>
        <w:rPr>
          <w:rFonts w:hint="eastAsia" w:asciiTheme="minorEastAsia" w:hAnsiTheme="minorEastAsia" w:cstheme="minorEastAsia"/>
          <w:b/>
          <w:color w:val="000000" w:themeColor="text1"/>
          <w:sz w:val="28"/>
          <w:szCs w:val="28"/>
          <w14:textFill>
            <w14:solidFill>
              <w14:schemeClr w14:val="tx1"/>
            </w14:solidFill>
          </w14:textFill>
        </w:rPr>
        <w:t>一、总则</w:t>
      </w:r>
      <w:bookmarkEnd w:id="1"/>
    </w:p>
    <w:p w14:paraId="465EE28A">
      <w:pPr>
        <w:spacing w:before="120" w:after="120"/>
        <w:ind w:firstLine="562"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b/>
          <w:color w:val="000000" w:themeColor="text1"/>
          <w:sz w:val="28"/>
          <w:szCs w:val="28"/>
          <w14:textFill>
            <w14:solidFill>
              <w14:schemeClr w14:val="tx1"/>
            </w14:solidFill>
          </w14:textFill>
        </w:rPr>
        <w:t>1.适用范围</w:t>
      </w:r>
    </w:p>
    <w:p w14:paraId="4125A0C6">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本磋商文件仅适用于本次竞争性磋商公告中所载明的事故预防服务采购项目，约束所有参与本次采购活动的供应商、采购人及相关机构。</w:t>
      </w:r>
    </w:p>
    <w:p w14:paraId="5B95A132">
      <w:pPr>
        <w:spacing w:before="120" w:after="120"/>
        <w:ind w:firstLine="562"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b/>
          <w:color w:val="000000" w:themeColor="text1"/>
          <w:sz w:val="28"/>
          <w:szCs w:val="28"/>
          <w14:textFill>
            <w14:solidFill>
              <w14:schemeClr w14:val="tx1"/>
            </w14:solidFill>
          </w14:textFill>
        </w:rPr>
        <w:t>2.磋商费用</w:t>
      </w:r>
    </w:p>
    <w:p w14:paraId="1655F021">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无论磋商结果如何，供应商应自行承担所有与准备、参加本次采购有关的全部费用，采购人不承担任何费用。</w:t>
      </w:r>
    </w:p>
    <w:p w14:paraId="79E9EA37">
      <w:pPr>
        <w:spacing w:before="120" w:after="120"/>
        <w:ind w:firstLine="562"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b/>
          <w:color w:val="000000" w:themeColor="text1"/>
          <w:sz w:val="28"/>
          <w:szCs w:val="28"/>
          <w14:textFill>
            <w14:solidFill>
              <w14:schemeClr w14:val="tx1"/>
            </w14:solidFill>
          </w14:textFill>
        </w:rPr>
        <w:t>3.资格审查</w:t>
      </w:r>
    </w:p>
    <w:p w14:paraId="1DCB4415">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磋商评审小组在磋商前对供应商进行资格审查，供应商须提供真实、有效的资格证明文件，弄虚作假的，一经查实，取消其磋商资格及成交资格，并列入不良行为记录名单。</w:t>
      </w:r>
    </w:p>
    <w:p w14:paraId="19FF9619">
      <w:pPr>
        <w:spacing w:before="300" w:after="120"/>
        <w:ind w:firstLine="562" w:firstLineChars="200"/>
        <w:outlineLvl w:val="2"/>
        <w:rPr>
          <w:rFonts w:hint="eastAsia" w:asciiTheme="minorEastAsia" w:hAnsiTheme="minorEastAsia" w:cstheme="minorEastAsia"/>
          <w:color w:val="000000" w:themeColor="text1"/>
          <w:sz w:val="28"/>
          <w:szCs w:val="28"/>
          <w14:textFill>
            <w14:solidFill>
              <w14:schemeClr w14:val="tx1"/>
            </w14:solidFill>
          </w14:textFill>
        </w:rPr>
      </w:pPr>
      <w:bookmarkStart w:id="2" w:name="heading_11"/>
      <w:r>
        <w:rPr>
          <w:rFonts w:hint="eastAsia" w:asciiTheme="minorEastAsia" w:hAnsiTheme="minorEastAsia" w:cstheme="minorEastAsia"/>
          <w:b/>
          <w:color w:val="000000" w:themeColor="text1"/>
          <w:sz w:val="28"/>
          <w:szCs w:val="28"/>
          <w14:textFill>
            <w14:solidFill>
              <w14:schemeClr w14:val="tx1"/>
            </w14:solidFill>
          </w14:textFill>
        </w:rPr>
        <w:t>二、磋商文件</w:t>
      </w:r>
      <w:bookmarkEnd w:id="2"/>
    </w:p>
    <w:p w14:paraId="7D2E06F5">
      <w:pPr>
        <w:spacing w:before="120" w:after="120"/>
        <w:ind w:firstLine="562"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b/>
          <w:color w:val="000000" w:themeColor="text1"/>
          <w:sz w:val="28"/>
          <w:szCs w:val="28"/>
          <w14:textFill>
            <w14:solidFill>
              <w14:schemeClr w14:val="tx1"/>
            </w14:solidFill>
          </w14:textFill>
        </w:rPr>
        <w:t>1.磋商文件构成</w:t>
      </w:r>
    </w:p>
    <w:p w14:paraId="69CDE8F3">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本磋商文件包括：竞争性磋商公告、供应商须知、采购需求、评审方法和成交标准、合同主要条款、响应文件格式，以及所有澄清、修改补充文件。</w:t>
      </w:r>
    </w:p>
    <w:p w14:paraId="1B6EAD89">
      <w:pPr>
        <w:spacing w:before="120" w:after="120"/>
        <w:ind w:firstLine="562"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b/>
          <w:color w:val="000000" w:themeColor="text1"/>
          <w:sz w:val="28"/>
          <w:szCs w:val="28"/>
          <w14:textFill>
            <w14:solidFill>
              <w14:schemeClr w14:val="tx1"/>
            </w14:solidFill>
          </w14:textFill>
        </w:rPr>
        <w:t>2.磋商文件的澄清</w:t>
      </w:r>
    </w:p>
    <w:p w14:paraId="000432E5">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供应商对磋商文件有疑问的，应在响应文件提交截止时间3日前，以书面形式向采购代理机构提出澄清申请。采购代理机构对收到的澄清申请进行汇总，必要时以书面形式通知所有已获取磋商文件的供应商，澄清内容作为磋商文件的组成部分。</w:t>
      </w:r>
    </w:p>
    <w:p w14:paraId="3C2131AA">
      <w:pPr>
        <w:spacing w:before="120" w:after="120"/>
        <w:ind w:firstLine="562"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b/>
          <w:color w:val="000000" w:themeColor="text1"/>
          <w:sz w:val="28"/>
          <w:szCs w:val="28"/>
          <w14:textFill>
            <w14:solidFill>
              <w14:schemeClr w14:val="tx1"/>
            </w14:solidFill>
          </w14:textFill>
        </w:rPr>
        <w:t>3.磋商文件的修改</w:t>
      </w:r>
    </w:p>
    <w:p w14:paraId="607B229F">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在响应文件提交截止时间前，采购人可对磋商文件进行修改，修改内容以网站公告的形式进行通知。修改内容对所有供应商具有约束力，供应商应按修改后的文件编制响应文件。</w:t>
      </w:r>
    </w:p>
    <w:p w14:paraId="6EEC099F">
      <w:pPr>
        <w:spacing w:before="300" w:after="120"/>
        <w:ind w:firstLine="562" w:firstLineChars="200"/>
        <w:outlineLvl w:val="2"/>
        <w:rPr>
          <w:rFonts w:hint="eastAsia" w:asciiTheme="minorEastAsia" w:hAnsiTheme="minorEastAsia" w:cstheme="minorEastAsia"/>
          <w:color w:val="000000" w:themeColor="text1"/>
          <w:sz w:val="28"/>
          <w:szCs w:val="28"/>
          <w14:textFill>
            <w14:solidFill>
              <w14:schemeClr w14:val="tx1"/>
            </w14:solidFill>
          </w14:textFill>
        </w:rPr>
      </w:pPr>
      <w:bookmarkStart w:id="3" w:name="heading_12"/>
      <w:r>
        <w:rPr>
          <w:rFonts w:hint="eastAsia" w:asciiTheme="minorEastAsia" w:hAnsiTheme="minorEastAsia" w:cstheme="minorEastAsia"/>
          <w:b/>
          <w:color w:val="000000" w:themeColor="text1"/>
          <w:sz w:val="28"/>
          <w:szCs w:val="28"/>
          <w14:textFill>
            <w14:solidFill>
              <w14:schemeClr w14:val="tx1"/>
            </w14:solidFill>
          </w14:textFill>
        </w:rPr>
        <w:t>三、响应文件编制</w:t>
      </w:r>
      <w:bookmarkEnd w:id="3"/>
    </w:p>
    <w:p w14:paraId="703A0D1F">
      <w:pPr>
        <w:spacing w:before="120" w:after="120"/>
        <w:ind w:firstLine="562"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b/>
          <w:color w:val="000000" w:themeColor="text1"/>
          <w:sz w:val="28"/>
          <w:szCs w:val="28"/>
          <w14:textFill>
            <w14:solidFill>
              <w14:schemeClr w14:val="tx1"/>
            </w14:solidFill>
          </w14:textFill>
        </w:rPr>
        <w:t>1.响应文件要求</w:t>
      </w:r>
    </w:p>
    <w:p w14:paraId="7E1661E8">
      <w:pPr>
        <w:spacing w:before="120" w:after="120"/>
        <w:ind w:firstLine="560" w:firstLineChars="200"/>
        <w:rPr>
          <w:rFonts w:hint="eastAsia" w:asciiTheme="minorEastAsia" w:hAnsiTheme="minorEastAsia" w:cstheme="minorEastAsia"/>
          <w:b/>
          <w:bCs/>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供应商应按照本文件规定的格式编制响应文件，保证内容完整、字迹清晰、签字盖章齐全，</w:t>
      </w:r>
      <w:r>
        <w:rPr>
          <w:rFonts w:hint="eastAsia" w:asciiTheme="minorEastAsia" w:hAnsiTheme="minorEastAsia" w:cstheme="minorEastAsia"/>
          <w:b/>
          <w:bCs/>
          <w:color w:val="000000" w:themeColor="text1"/>
          <w:sz w:val="28"/>
          <w:szCs w:val="28"/>
          <w14:textFill>
            <w14:solidFill>
              <w14:schemeClr w14:val="tx1"/>
            </w14:solidFill>
          </w14:textFill>
        </w:rPr>
        <w:t>响应文件一式伍份，正本壹份、副本肆份，密封包装。</w:t>
      </w:r>
    </w:p>
    <w:p w14:paraId="3BB70707">
      <w:pPr>
        <w:spacing w:before="120" w:after="120"/>
        <w:ind w:firstLine="562"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b/>
          <w:color w:val="000000" w:themeColor="text1"/>
          <w:sz w:val="28"/>
          <w:szCs w:val="28"/>
          <w14:textFill>
            <w14:solidFill>
              <w14:schemeClr w14:val="tx1"/>
            </w14:solidFill>
          </w14:textFill>
        </w:rPr>
        <w:t>2.响应文件内容</w:t>
      </w:r>
    </w:p>
    <w:p w14:paraId="77957A38">
      <w:pPr>
        <w:spacing w:before="120" w:after="12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 （1）响应函；</w:t>
      </w:r>
    </w:p>
    <w:p w14:paraId="3C7EBF03">
      <w:pPr>
        <w:spacing w:before="120" w:after="12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 （2）法定代表人身份证明及授权委托书；</w:t>
      </w:r>
    </w:p>
    <w:p w14:paraId="6572BBEA">
      <w:pPr>
        <w:spacing w:before="120" w:after="12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 （3）资格证明文件（营业执照、资质证书、人员证书、业绩证明等）；</w:t>
      </w:r>
    </w:p>
    <w:p w14:paraId="7D9FFA70">
      <w:pPr>
        <w:spacing w:before="120" w:after="12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 （4）服务方案（事故预防服务具体实施计划、人员配置、服务流程等）；</w:t>
      </w:r>
    </w:p>
    <w:p w14:paraId="7D57933E">
      <w:pPr>
        <w:spacing w:before="120" w:after="12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 （5）报价表及报价明细；</w:t>
      </w:r>
    </w:p>
    <w:p w14:paraId="23B8BBC5">
      <w:pPr>
        <w:spacing w:before="120" w:after="12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 （6）服务承诺及售后服务保障；</w:t>
      </w:r>
    </w:p>
    <w:p w14:paraId="01082CFE">
      <w:pPr>
        <w:spacing w:before="120" w:after="12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 （7）供应商认为需要提供的其他资料。</w:t>
      </w:r>
    </w:p>
    <w:p w14:paraId="31B2B722">
      <w:pPr>
        <w:spacing w:before="120" w:after="120"/>
        <w:ind w:firstLine="562"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b/>
          <w:color w:val="000000" w:themeColor="text1"/>
          <w:sz w:val="28"/>
          <w:szCs w:val="28"/>
          <w14:textFill>
            <w14:solidFill>
              <w14:schemeClr w14:val="tx1"/>
            </w14:solidFill>
          </w14:textFill>
        </w:rPr>
        <w:t>3.报价要求</w:t>
      </w:r>
    </w:p>
    <w:p w14:paraId="3028694C">
      <w:pPr>
        <w:spacing w:before="120" w:after="12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  （1）报价以人民币为计价货币，为完成本项目全部服务内容的最终报价，包含人工费、服务费、交通费、税费等所有费用，采购人不另行支付其他费用；</w:t>
      </w:r>
    </w:p>
    <w:p w14:paraId="195C54B4">
      <w:pPr>
        <w:spacing w:before="120" w:after="12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  （2）报价应合理，不得恶意低价报价，否则评审小组有权认定其响应无效；</w:t>
      </w:r>
    </w:p>
    <w:p w14:paraId="062A2F2F">
      <w:pPr>
        <w:spacing w:before="120" w:after="12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  （3）磋商过程中，供应商可根据实际情况进行现场磋商，最终报价为成交及合同签订的依据。</w:t>
      </w:r>
    </w:p>
    <w:p w14:paraId="1B60D93C">
      <w:pPr>
        <w:spacing w:before="120" w:after="120"/>
        <w:ind w:firstLine="562"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b/>
          <w:color w:val="000000" w:themeColor="text1"/>
          <w:sz w:val="28"/>
          <w:szCs w:val="28"/>
          <w14:textFill>
            <w14:solidFill>
              <w14:schemeClr w14:val="tx1"/>
            </w14:solidFill>
          </w14:textFill>
        </w:rPr>
        <w:t>4.响应有效期</w:t>
      </w:r>
    </w:p>
    <w:p w14:paraId="6D7A82A3">
      <w:pPr>
        <w:spacing w:before="120" w:after="120"/>
        <w:ind w:firstLine="560" w:firstLineChars="200"/>
        <w:rPr>
          <w:rFonts w:hint="eastAsia" w:asciiTheme="minorEastAsia" w:hAnsiTheme="minorEastAsia" w:cstheme="minorEastAsia"/>
          <w:b/>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响应文件有效期为自响应文件提交截止之日起90日历天，有效期不足的，响应文件按无效处理。</w:t>
      </w:r>
      <w:bookmarkStart w:id="4" w:name="heading_13"/>
    </w:p>
    <w:p w14:paraId="0FF29361">
      <w:pPr>
        <w:spacing w:before="300" w:after="120"/>
        <w:ind w:firstLine="562" w:firstLineChars="200"/>
        <w:outlineLvl w:val="2"/>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b/>
          <w:color w:val="000000" w:themeColor="text1"/>
          <w:sz w:val="28"/>
          <w:szCs w:val="28"/>
          <w14:textFill>
            <w14:solidFill>
              <w14:schemeClr w14:val="tx1"/>
            </w14:solidFill>
          </w14:textFill>
        </w:rPr>
        <w:t>四、响应文件提交、修改与撤回</w:t>
      </w:r>
      <w:bookmarkEnd w:id="4"/>
    </w:p>
    <w:p w14:paraId="680C982C">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1.供应商应在规定的截止时间前，将密封完好的响应文件送达指定地点；</w:t>
      </w:r>
    </w:p>
    <w:p w14:paraId="4636C912">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2.截止时间之前，供应商可对已提交的响应文件进行修改、撤回，修改、撤回的书面申请需加盖供应商公章；</w:t>
      </w:r>
    </w:p>
    <w:p w14:paraId="3ECC7F65">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3.截止时间后，不得修改、撤回响应文件，不得更改响应实质性内容。</w:t>
      </w:r>
    </w:p>
    <w:p w14:paraId="464026F3">
      <w:pPr>
        <w:spacing w:before="300" w:after="120"/>
        <w:ind w:firstLine="562" w:firstLineChars="200"/>
        <w:outlineLvl w:val="2"/>
        <w:rPr>
          <w:rFonts w:hint="eastAsia" w:asciiTheme="minorEastAsia" w:hAnsiTheme="minorEastAsia" w:cstheme="minorEastAsia"/>
          <w:color w:val="000000" w:themeColor="text1"/>
          <w:sz w:val="28"/>
          <w:szCs w:val="28"/>
          <w14:textFill>
            <w14:solidFill>
              <w14:schemeClr w14:val="tx1"/>
            </w14:solidFill>
          </w14:textFill>
        </w:rPr>
      </w:pPr>
      <w:bookmarkStart w:id="5" w:name="heading_14"/>
      <w:r>
        <w:rPr>
          <w:rFonts w:hint="eastAsia" w:asciiTheme="minorEastAsia" w:hAnsiTheme="minorEastAsia" w:cstheme="minorEastAsia"/>
          <w:b/>
          <w:color w:val="000000" w:themeColor="text1"/>
          <w:sz w:val="28"/>
          <w:szCs w:val="28"/>
          <w14:textFill>
            <w14:solidFill>
              <w14:schemeClr w14:val="tx1"/>
            </w14:solidFill>
          </w14:textFill>
        </w:rPr>
        <w:t>五、磋商与评审</w:t>
      </w:r>
      <w:bookmarkEnd w:id="5"/>
    </w:p>
    <w:p w14:paraId="26230947">
      <w:pPr>
        <w:spacing w:before="120" w:after="120"/>
        <w:ind w:firstLine="562"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b/>
          <w:color w:val="000000" w:themeColor="text1"/>
          <w:sz w:val="28"/>
          <w:szCs w:val="28"/>
          <w14:textFill>
            <w14:solidFill>
              <w14:schemeClr w14:val="tx1"/>
            </w14:solidFill>
          </w14:textFill>
        </w:rPr>
        <w:t>1.磋商小组</w:t>
      </w:r>
    </w:p>
    <w:p w14:paraId="2927A9D5">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本次磋商依法组建评审小组，由采购人代表及相关专业专家共3人及以上单数组成，负责磋商、评审工作。</w:t>
      </w:r>
    </w:p>
    <w:p w14:paraId="71AB1D54">
      <w:pPr>
        <w:spacing w:before="120" w:after="120"/>
        <w:ind w:firstLine="562"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b/>
          <w:color w:val="000000" w:themeColor="text1"/>
          <w:sz w:val="28"/>
          <w:szCs w:val="28"/>
          <w14:textFill>
            <w14:solidFill>
              <w14:schemeClr w14:val="tx1"/>
            </w14:solidFill>
          </w14:textFill>
        </w:rPr>
        <w:t>2.磋商程序</w:t>
      </w:r>
    </w:p>
    <w:p w14:paraId="4C910E42">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（1）资格及符合性审查：评审小组对供应商响应文件进行资格及符合性审查，审查合格的进入评审环节；</w:t>
      </w:r>
    </w:p>
    <w:p w14:paraId="73DCE5CC">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（2）评审：评审小组根据最终报价、服务方案、人员配置、业绩等，按照评审标准进行打分，根据打分结果选择得分最高者，确定成交候选人。</w:t>
      </w:r>
    </w:p>
    <w:p w14:paraId="7C68AB8E">
      <w:pPr>
        <w:spacing w:before="120" w:after="120"/>
        <w:ind w:firstLine="562"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b/>
          <w:color w:val="000000" w:themeColor="text1"/>
          <w:sz w:val="28"/>
          <w:szCs w:val="28"/>
          <w14:textFill>
            <w14:solidFill>
              <w14:schemeClr w14:val="tx1"/>
            </w14:solidFill>
          </w14:textFill>
        </w:rPr>
        <w:t>3.成交原则</w:t>
      </w:r>
    </w:p>
    <w:p w14:paraId="5409184A">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本次磋商采用</w:t>
      </w:r>
      <w:r>
        <w:rPr>
          <w:rFonts w:hint="eastAsia" w:asciiTheme="minorEastAsia" w:hAnsiTheme="minorEastAsia" w:cstheme="minorEastAsia"/>
          <w:b/>
          <w:color w:val="000000" w:themeColor="text1"/>
          <w:sz w:val="28"/>
          <w:szCs w:val="28"/>
          <w14:textFill>
            <w14:solidFill>
              <w14:schemeClr w14:val="tx1"/>
            </w14:solidFill>
          </w14:textFill>
        </w:rPr>
        <w:t>综合评审法</w:t>
      </w:r>
      <w:r>
        <w:rPr>
          <w:rFonts w:hint="eastAsia" w:asciiTheme="minorEastAsia" w:hAnsiTheme="minorEastAsia" w:cstheme="minorEastAsia"/>
          <w:color w:val="000000" w:themeColor="text1"/>
          <w:sz w:val="28"/>
          <w:szCs w:val="28"/>
          <w14:textFill>
            <w14:solidFill>
              <w14:schemeClr w14:val="tx1"/>
            </w14:solidFill>
          </w14:textFill>
        </w:rPr>
        <w:t>，在满足采购需求、服务质量和服务期限的前提下，综合评审得分最高的供应商为第一成交候选人，得分第二名为第二成交候选人依次类推，第一成交候选人的报价作为成交价，本次采购选择第一和第二成交候选人作为供应商，如第二成交候选人不能响应成交价则顺延至第三成交候选人，以此类推；</w:t>
      </w:r>
    </w:p>
    <w:p w14:paraId="568A6EE1">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确定后的两家成交候选人在收到中标通知书后七日内，与采购人签订合作协议，本次采购的事故预防服务工作优先安排第一成交候选人进行服务，如遇第一候选人无法安排服务，则顺延至第二成交候选人。</w:t>
      </w:r>
    </w:p>
    <w:p w14:paraId="17CC972A">
      <w:pPr>
        <w:spacing w:before="300" w:after="120"/>
        <w:ind w:firstLine="562" w:firstLineChars="200"/>
        <w:outlineLvl w:val="2"/>
        <w:rPr>
          <w:rFonts w:hint="eastAsia" w:asciiTheme="minorEastAsia" w:hAnsiTheme="minorEastAsia" w:cstheme="minorEastAsia"/>
          <w:b/>
          <w:color w:val="000000" w:themeColor="text1"/>
          <w:sz w:val="28"/>
          <w:szCs w:val="28"/>
          <w14:textFill>
            <w14:solidFill>
              <w14:schemeClr w14:val="tx1"/>
            </w14:solidFill>
          </w14:textFill>
        </w:rPr>
      </w:pPr>
      <w:bookmarkStart w:id="6" w:name="heading_15"/>
    </w:p>
    <w:p w14:paraId="1ECFEF8A">
      <w:pPr>
        <w:spacing w:before="300" w:after="120"/>
        <w:ind w:firstLine="562" w:firstLineChars="200"/>
        <w:outlineLvl w:val="2"/>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b/>
          <w:color w:val="000000" w:themeColor="text1"/>
          <w:sz w:val="28"/>
          <w:szCs w:val="28"/>
          <w14:textFill>
            <w14:solidFill>
              <w14:schemeClr w14:val="tx1"/>
            </w14:solidFill>
          </w14:textFill>
        </w:rPr>
        <w:t>六、合同授予</w:t>
      </w:r>
      <w:bookmarkEnd w:id="6"/>
    </w:p>
    <w:p w14:paraId="2A254D56">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1.采购人向成交供应商发出成交通知书，成交通知书为合同组成部分；</w:t>
      </w:r>
    </w:p>
    <w:p w14:paraId="7414ABAA">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2.成交供应商应在成交通知书发出之日起7日内，与采购人签订采购合同，不得拒绝签订或更改合同实质性内容；</w:t>
      </w:r>
    </w:p>
    <w:p w14:paraId="580A8747">
      <w:pPr>
        <w:spacing w:before="120" w:after="120"/>
        <w:ind w:firstLine="560" w:firstLineChars="200"/>
        <w:rPr>
          <w:rFonts w:hint="eastAsia" w:asciiTheme="minorEastAsia" w:hAnsiTheme="minorEastAsia" w:cstheme="minorEastAsia"/>
          <w:b/>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3.合同签订以本磋商文件、成交供应商响应文件及最终报价为依据，双方不得另行签订背离合同实质性内容的其他协议。</w:t>
      </w:r>
      <w:bookmarkStart w:id="7" w:name="heading_16"/>
    </w:p>
    <w:p w14:paraId="26F485A3">
      <w:pPr>
        <w:spacing w:before="300" w:after="120"/>
        <w:ind w:firstLine="562" w:firstLineChars="200"/>
        <w:outlineLvl w:val="2"/>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b/>
          <w:color w:val="000000" w:themeColor="text1"/>
          <w:sz w:val="28"/>
          <w:szCs w:val="28"/>
          <w14:textFill>
            <w14:solidFill>
              <w14:schemeClr w14:val="tx1"/>
            </w14:solidFill>
          </w14:textFill>
        </w:rPr>
        <w:t>七、纪律与监督</w:t>
      </w:r>
      <w:bookmarkEnd w:id="7"/>
    </w:p>
    <w:p w14:paraId="0DB785B3">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1.供应商不得提供虚假材料、不得串通报价、不得行贿谋取成交，违者取消资格并追究法律责任；</w:t>
      </w:r>
    </w:p>
    <w:p w14:paraId="5490E271">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2.评审小组成员及相关工作人员不得泄露评审、评审相关信息，不得与供应商恶意串通；</w:t>
      </w:r>
    </w:p>
    <w:p w14:paraId="554BEEA7">
      <w:pPr>
        <w:spacing w:before="120" w:after="120"/>
        <w:ind w:firstLine="560" w:firstLineChars="200"/>
        <w:rPr>
          <w:rFonts w:hint="eastAsia" w:asciiTheme="minorEastAsia" w:hAnsiTheme="minorEastAsia" w:cstheme="minorEastAsia"/>
          <w:color w:val="000000" w:themeColor="text1"/>
          <w:sz w:val="22"/>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3.本次采购活动接受政府采购监督管理部门及社会监督。</w:t>
      </w:r>
    </w:p>
    <w:p w14:paraId="5D0F6232">
      <w:pPr>
        <w:spacing w:before="320" w:after="120"/>
        <w:jc w:val="center"/>
        <w:outlineLvl w:val="1"/>
        <w:rPr>
          <w:rFonts w:hint="eastAsia" w:asciiTheme="minorEastAsia" w:hAnsiTheme="minorEastAsia" w:cstheme="minorEastAsia"/>
          <w:b/>
          <w:color w:val="000000" w:themeColor="text1"/>
          <w:sz w:val="40"/>
          <w:szCs w:val="40"/>
          <w14:textFill>
            <w14:solidFill>
              <w14:schemeClr w14:val="tx1"/>
            </w14:solidFill>
          </w14:textFill>
        </w:rPr>
      </w:pPr>
      <w:bookmarkStart w:id="8" w:name="heading_17"/>
      <w:r>
        <w:rPr>
          <w:rFonts w:hint="eastAsia" w:asciiTheme="minorEastAsia" w:hAnsiTheme="minorEastAsia" w:cstheme="minorEastAsia"/>
          <w:b/>
          <w:color w:val="000000" w:themeColor="text1"/>
          <w:sz w:val="44"/>
          <w:szCs w:val="44"/>
          <w14:textFill>
            <w14:solidFill>
              <w14:schemeClr w14:val="tx1"/>
            </w14:solidFill>
          </w14:textFill>
        </w:rPr>
        <w:br w:type="page"/>
      </w:r>
      <w:r>
        <w:rPr>
          <w:rFonts w:hint="eastAsia" w:asciiTheme="minorEastAsia" w:hAnsiTheme="minorEastAsia" w:cstheme="minorEastAsia"/>
          <w:b/>
          <w:color w:val="000000" w:themeColor="text1"/>
          <w:sz w:val="40"/>
          <w:szCs w:val="40"/>
          <w14:textFill>
            <w14:solidFill>
              <w14:schemeClr w14:val="tx1"/>
            </w14:solidFill>
          </w14:textFill>
        </w:rPr>
        <w:t>第三章 采购需求（事故预防服务）</w:t>
      </w:r>
      <w:bookmarkEnd w:id="8"/>
    </w:p>
    <w:p w14:paraId="3236F6BA">
      <w:pPr>
        <w:spacing w:before="300" w:after="120"/>
        <w:ind w:firstLine="602" w:firstLineChars="200"/>
        <w:outlineLvl w:val="2"/>
        <w:rPr>
          <w:rFonts w:hint="eastAsia" w:asciiTheme="minorEastAsia" w:hAnsiTheme="minorEastAsia" w:cstheme="minorEastAsia"/>
          <w:color w:val="000000" w:themeColor="text1"/>
          <w14:textFill>
            <w14:solidFill>
              <w14:schemeClr w14:val="tx1"/>
            </w14:solidFill>
          </w14:textFill>
        </w:rPr>
      </w:pPr>
      <w:bookmarkStart w:id="9" w:name="heading_18"/>
      <w:r>
        <w:rPr>
          <w:rFonts w:hint="eastAsia" w:asciiTheme="minorEastAsia" w:hAnsiTheme="minorEastAsia" w:cstheme="minorEastAsia"/>
          <w:b/>
          <w:color w:val="000000" w:themeColor="text1"/>
          <w:sz w:val="30"/>
          <w14:textFill>
            <w14:solidFill>
              <w14:schemeClr w14:val="tx1"/>
            </w14:solidFill>
          </w14:textFill>
        </w:rPr>
        <w:t>一、服务总体目标</w:t>
      </w:r>
      <w:bookmarkEnd w:id="9"/>
    </w:p>
    <w:p w14:paraId="01A3F9E4">
      <w:pPr>
        <w:spacing w:before="120" w:after="120"/>
        <w:ind w:firstLine="560" w:firstLineChars="200"/>
        <w:rPr>
          <w:rFonts w:hint="eastAsia"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通过专业事故预防服务，全面排查安全隐患、完善安全管理体系、开展安全培训教育，有效防范各类生产安全、消防安全、公共安全等事故发生，提升采购人安全管理水平，保障人员及财产安全。</w:t>
      </w:r>
    </w:p>
    <w:p w14:paraId="0AB65BC6">
      <w:pPr>
        <w:spacing w:before="120" w:after="120"/>
        <w:ind w:firstLine="602" w:firstLineChars="200"/>
        <w:rPr>
          <w:rFonts w:hint="eastAsia" w:asciiTheme="minorEastAsia" w:hAnsiTheme="minorEastAsia" w:cstheme="minorEastAsia"/>
          <w:b/>
          <w:color w:val="000000" w:themeColor="text1"/>
          <w:sz w:val="30"/>
          <w14:textFill>
            <w14:solidFill>
              <w14:schemeClr w14:val="tx1"/>
            </w14:solidFill>
          </w14:textFill>
        </w:rPr>
      </w:pPr>
      <w:bookmarkStart w:id="10" w:name="heading_19"/>
      <w:r>
        <w:rPr>
          <w:rFonts w:hint="eastAsia" w:asciiTheme="minorEastAsia" w:hAnsiTheme="minorEastAsia" w:cstheme="minorEastAsia"/>
          <w:b/>
          <w:color w:val="000000" w:themeColor="text1"/>
          <w:sz w:val="30"/>
          <w14:textFill>
            <w14:solidFill>
              <w14:schemeClr w14:val="tx1"/>
            </w14:solidFill>
          </w14:textFill>
        </w:rPr>
        <w:t>二、服务内容</w:t>
      </w:r>
      <w:bookmarkEnd w:id="10"/>
    </w:p>
    <w:p w14:paraId="10EB7A66">
      <w:pPr>
        <w:spacing w:before="120" w:after="120"/>
        <w:ind w:firstLine="560" w:firstLineChars="200"/>
      </w:pPr>
      <w:r>
        <w:rPr>
          <w:rFonts w:hint="eastAsia" w:asciiTheme="minorEastAsia" w:hAnsiTheme="minorEastAsia" w:cstheme="minorEastAsia"/>
          <w:color w:val="000000" w:themeColor="text1"/>
          <w:sz w:val="28"/>
          <w:szCs w:val="28"/>
          <w14:textFill>
            <w14:solidFill>
              <w14:schemeClr w14:val="tx1"/>
            </w14:solidFill>
          </w14:textFill>
        </w:rPr>
        <w:t>（一）安全生产宣传教育培训；</w:t>
      </w:r>
    </w:p>
    <w:p w14:paraId="34C35443">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（二）安全风险辨识、评估、评价；</w:t>
      </w:r>
    </w:p>
    <w:p w14:paraId="44846F2F">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（三）安全生产标准化管理体系建设；</w:t>
      </w:r>
    </w:p>
    <w:p w14:paraId="27AA424B">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（四）生产安全重大事故隐患排查；</w:t>
      </w:r>
    </w:p>
    <w:p w14:paraId="49BDFBBB">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（五）安全生产应急预案编制和应急救援演练；</w:t>
      </w:r>
    </w:p>
    <w:p w14:paraId="186F0F86">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（六）安全生产科技创新、装备研发推广应用；</w:t>
      </w:r>
    </w:p>
    <w:p w14:paraId="77B3524E">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（七）其他有关事故预防工作；</w:t>
      </w:r>
    </w:p>
    <w:p w14:paraId="3569773E">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注：具体要求详见</w:t>
      </w:r>
      <w:r>
        <w:rPr>
          <w:rFonts w:hint="eastAsia" w:asciiTheme="minorEastAsia" w:hAnsiTheme="minorEastAsia" w:cstheme="minorEastAsia"/>
          <w:b/>
          <w:bCs/>
          <w:color w:val="000000" w:themeColor="text1"/>
          <w:sz w:val="28"/>
          <w:szCs w:val="28"/>
          <w14:textFill>
            <w14:solidFill>
              <w14:schemeClr w14:val="tx1"/>
            </w14:solidFill>
          </w14:textFill>
        </w:rPr>
        <w:t>附件1《郎溪县建设工程监理协会安全生产责任保险事故预防技术服务方案》</w:t>
      </w:r>
      <w:r>
        <w:rPr>
          <w:rFonts w:hint="eastAsia" w:asciiTheme="minorEastAsia" w:hAnsiTheme="minorEastAsia" w:cstheme="minorEastAsia"/>
          <w:color w:val="000000" w:themeColor="text1"/>
          <w:sz w:val="28"/>
          <w:szCs w:val="28"/>
          <w14:textFill>
            <w14:solidFill>
              <w14:schemeClr w14:val="tx1"/>
            </w14:solidFill>
          </w14:textFill>
        </w:rPr>
        <w:t>和</w:t>
      </w:r>
      <w:r>
        <w:rPr>
          <w:rFonts w:hint="eastAsia" w:asciiTheme="minorEastAsia" w:hAnsiTheme="minorEastAsia" w:cstheme="minorEastAsia"/>
          <w:b/>
          <w:bCs/>
          <w:color w:val="000000" w:themeColor="text1"/>
          <w:sz w:val="28"/>
          <w:szCs w:val="28"/>
          <w14:textFill>
            <w14:solidFill>
              <w14:schemeClr w14:val="tx1"/>
            </w14:solidFill>
          </w14:textFill>
        </w:rPr>
        <w:t>附件2《建筑工地消防演练和应急疏散预案》</w:t>
      </w:r>
      <w:r>
        <w:rPr>
          <w:rFonts w:hint="eastAsia" w:asciiTheme="minorEastAsia" w:hAnsiTheme="minorEastAsia" w:cstheme="minorEastAsia"/>
          <w:color w:val="000000" w:themeColor="text1"/>
          <w:sz w:val="28"/>
          <w:szCs w:val="28"/>
          <w14:textFill>
            <w14:solidFill>
              <w14:schemeClr w14:val="tx1"/>
            </w14:solidFill>
          </w14:textFill>
        </w:rPr>
        <w:t>。</w:t>
      </w:r>
    </w:p>
    <w:p w14:paraId="2A105792">
      <w:pPr>
        <w:spacing w:before="120" w:after="120"/>
        <w:ind w:firstLine="602" w:firstLineChars="200"/>
        <w:rPr>
          <w:rFonts w:hint="eastAsia" w:asciiTheme="minorEastAsia" w:hAnsiTheme="minorEastAsia" w:cstheme="minorEastAsia"/>
          <w:b/>
          <w:color w:val="000000" w:themeColor="text1"/>
          <w:sz w:val="30"/>
          <w14:textFill>
            <w14:solidFill>
              <w14:schemeClr w14:val="tx1"/>
            </w14:solidFill>
          </w14:textFill>
        </w:rPr>
      </w:pPr>
      <w:r>
        <w:rPr>
          <w:rFonts w:hint="eastAsia" w:asciiTheme="minorEastAsia" w:hAnsiTheme="minorEastAsia" w:cstheme="minorEastAsia"/>
          <w:b/>
          <w:color w:val="000000" w:themeColor="text1"/>
          <w:sz w:val="30"/>
          <w14:textFill>
            <w14:solidFill>
              <w14:schemeClr w14:val="tx1"/>
            </w14:solidFill>
          </w14:textFill>
        </w:rPr>
        <w:t>三、服务人员要求</w:t>
      </w:r>
    </w:p>
    <w:p w14:paraId="4FFC51E8">
      <w:pPr>
        <w:spacing w:before="120" w:after="120"/>
        <w:ind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上述事故预防服务内容应当由宣城市安全专家库的专家或安徽省及省级以上安全专家库的专家提供相关服务，专家的任职时间和相关证书时间应当在有效期内。</w:t>
      </w:r>
    </w:p>
    <w:p w14:paraId="1DDF1144">
      <w:pPr>
        <w:spacing w:before="300" w:after="120"/>
        <w:ind w:firstLine="602" w:firstLineChars="200"/>
        <w:outlineLvl w:val="2"/>
        <w:rPr>
          <w:rFonts w:hint="eastAsia" w:asciiTheme="minorEastAsia" w:hAnsiTheme="minorEastAsia" w:cstheme="minorEastAsia"/>
          <w:color w:val="000000" w:themeColor="text1"/>
          <w14:textFill>
            <w14:solidFill>
              <w14:schemeClr w14:val="tx1"/>
            </w14:solidFill>
          </w14:textFill>
        </w:rPr>
      </w:pPr>
      <w:bookmarkStart w:id="11" w:name="heading_20"/>
      <w:r>
        <w:rPr>
          <w:rFonts w:hint="eastAsia" w:asciiTheme="minorEastAsia" w:hAnsiTheme="minorEastAsia" w:cstheme="minorEastAsia"/>
          <w:b/>
          <w:color w:val="000000" w:themeColor="text1"/>
          <w:sz w:val="30"/>
          <w14:textFill>
            <w14:solidFill>
              <w14:schemeClr w14:val="tx1"/>
            </w14:solidFill>
          </w14:textFill>
        </w:rPr>
        <w:t>四、服务标准及要求</w:t>
      </w:r>
      <w:bookmarkEnd w:id="11"/>
    </w:p>
    <w:p w14:paraId="11A62B55">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1.供应商须组建专属服务团队，项目负责人定期到场，确保服务及时、高效；</w:t>
      </w:r>
    </w:p>
    <w:p w14:paraId="2ED91640">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2.服务人员须具备相应安全管理、事故预防专业资质，熟悉相关安全法律法规及行业标准；</w:t>
      </w:r>
    </w:p>
    <w:p w14:paraId="59375BD5">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3.隐患排查、培训、演练等服务须留存完整记录，定期向采购人提交服务报告；</w:t>
      </w:r>
    </w:p>
    <w:p w14:paraId="3BCAD844">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4.严格遵守采购人安全管理规定，保守采购人商业及安全管理秘密；</w:t>
      </w:r>
    </w:p>
    <w:p w14:paraId="6FD77308">
      <w:pPr>
        <w:spacing w:before="120" w:after="120"/>
        <w:ind w:firstLine="560" w:firstLineChars="200"/>
        <w:rPr>
          <w:rFonts w:hint="eastAsia"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5.服务过程中确保人员安全，因供应商服务不当引发安全事故的，由供应商承担全部责任。</w:t>
      </w:r>
    </w:p>
    <w:p w14:paraId="3764DAF0">
      <w:pPr>
        <w:spacing w:before="300" w:after="120"/>
        <w:ind w:firstLine="602" w:firstLineChars="200"/>
        <w:outlineLvl w:val="2"/>
        <w:rPr>
          <w:rFonts w:hint="eastAsia" w:asciiTheme="minorEastAsia" w:hAnsiTheme="minorEastAsia" w:cstheme="minorEastAsia"/>
          <w:color w:val="000000" w:themeColor="text1"/>
          <w14:textFill>
            <w14:solidFill>
              <w14:schemeClr w14:val="tx1"/>
            </w14:solidFill>
          </w14:textFill>
        </w:rPr>
      </w:pPr>
      <w:bookmarkStart w:id="12" w:name="heading_21"/>
      <w:r>
        <w:rPr>
          <w:rFonts w:hint="eastAsia" w:asciiTheme="minorEastAsia" w:hAnsiTheme="minorEastAsia" w:cstheme="minorEastAsia"/>
          <w:b/>
          <w:color w:val="000000" w:themeColor="text1"/>
          <w:sz w:val="30"/>
          <w14:textFill>
            <w14:solidFill>
              <w14:schemeClr w14:val="tx1"/>
            </w14:solidFill>
          </w14:textFill>
        </w:rPr>
        <w:t>五、服务期限</w:t>
      </w:r>
      <w:bookmarkEnd w:id="12"/>
    </w:p>
    <w:p w14:paraId="33300BB8">
      <w:pPr>
        <w:spacing w:before="120" w:after="120"/>
        <w:ind w:firstLine="560" w:firstLineChars="200"/>
        <w:rPr>
          <w:rFonts w:hint="eastAsia"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自合同签订之日起24个月，具体起止日期以合同约定为准。</w:t>
      </w:r>
    </w:p>
    <w:p w14:paraId="553E6636">
      <w:pPr>
        <w:spacing w:before="300" w:after="120"/>
        <w:ind w:firstLine="602" w:firstLineChars="200"/>
        <w:outlineLvl w:val="2"/>
        <w:rPr>
          <w:rFonts w:hint="eastAsia" w:asciiTheme="minorEastAsia" w:hAnsiTheme="minorEastAsia" w:cstheme="minorEastAsia"/>
          <w:color w:val="000000" w:themeColor="text1"/>
          <w14:textFill>
            <w14:solidFill>
              <w14:schemeClr w14:val="tx1"/>
            </w14:solidFill>
          </w14:textFill>
        </w:rPr>
      </w:pPr>
      <w:bookmarkStart w:id="13" w:name="heading_22"/>
      <w:r>
        <w:rPr>
          <w:rFonts w:hint="eastAsia" w:asciiTheme="minorEastAsia" w:hAnsiTheme="minorEastAsia" w:cstheme="minorEastAsia"/>
          <w:b/>
          <w:color w:val="000000" w:themeColor="text1"/>
          <w:sz w:val="30"/>
          <w14:textFill>
            <w14:solidFill>
              <w14:schemeClr w14:val="tx1"/>
            </w14:solidFill>
          </w14:textFill>
        </w:rPr>
        <w:t>六、验收标准</w:t>
      </w:r>
      <w:bookmarkEnd w:id="13"/>
    </w:p>
    <w:p w14:paraId="55E413B0">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1.供应商按合同约定完成全部服务内容，提交完整服务档案、报告等资料；</w:t>
      </w:r>
    </w:p>
    <w:p w14:paraId="29D41A42">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2.安全隐患整改率达到95%以上，全员安全培训覆盖率100%；</w:t>
      </w:r>
    </w:p>
    <w:p w14:paraId="49002F37">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3.服务期内未因服务不到位引发一般及以上安全事故；</w:t>
      </w:r>
    </w:p>
    <w:p w14:paraId="272037A2">
      <w:pPr>
        <w:spacing w:before="120" w:after="120"/>
        <w:ind w:firstLine="560" w:firstLineChars="200"/>
        <w:rPr>
          <w:rFonts w:hint="eastAsia" w:asciiTheme="minorEastAsia" w:hAnsiTheme="minorEastAsia" w:cstheme="minorEastAsia"/>
          <w:color w:val="000000" w:themeColor="text1"/>
          <w:sz w:val="22"/>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4.采购人对服务质量、服务及时性、服务成果全面认可。</w:t>
      </w:r>
    </w:p>
    <w:p w14:paraId="1A0315D9">
      <w:pPr>
        <w:spacing w:before="120" w:after="120"/>
        <w:ind w:firstLine="440" w:firstLineChars="200"/>
        <w:rPr>
          <w:rFonts w:hint="eastAsia" w:asciiTheme="minorEastAsia" w:hAnsiTheme="minorEastAsia" w:cstheme="minorEastAsia"/>
          <w:color w:val="000000" w:themeColor="text1"/>
          <w:sz w:val="22"/>
          <w14:textFill>
            <w14:solidFill>
              <w14:schemeClr w14:val="tx1"/>
            </w14:solidFill>
          </w14:textFill>
        </w:rPr>
      </w:pPr>
    </w:p>
    <w:p w14:paraId="0369F110">
      <w:pPr>
        <w:spacing w:before="120" w:after="120"/>
        <w:jc w:val="center"/>
        <w:rPr>
          <w:rFonts w:hint="eastAsia" w:asciiTheme="minorEastAsia" w:hAnsiTheme="minorEastAsia" w:cstheme="minorEastAsia"/>
          <w:b/>
          <w:color w:val="000000" w:themeColor="text1"/>
          <w:sz w:val="44"/>
          <w:szCs w:val="44"/>
          <w14:textFill>
            <w14:solidFill>
              <w14:schemeClr w14:val="tx1"/>
            </w14:solidFill>
          </w14:textFill>
        </w:rPr>
      </w:pPr>
      <w:bookmarkStart w:id="14" w:name="heading_23"/>
      <w:r>
        <w:rPr>
          <w:rFonts w:hint="eastAsia" w:asciiTheme="minorEastAsia" w:hAnsiTheme="minorEastAsia" w:cstheme="minorEastAsia"/>
          <w:b/>
          <w:color w:val="000000" w:themeColor="text1"/>
          <w:sz w:val="44"/>
          <w:szCs w:val="44"/>
          <w14:textFill>
            <w14:solidFill>
              <w14:schemeClr w14:val="tx1"/>
            </w14:solidFill>
          </w14:textFill>
        </w:rPr>
        <w:br w:type="page"/>
      </w:r>
      <w:r>
        <w:rPr>
          <w:rFonts w:hint="eastAsia" w:asciiTheme="minorEastAsia" w:hAnsiTheme="minorEastAsia" w:cstheme="minorEastAsia"/>
          <w:b/>
          <w:color w:val="000000" w:themeColor="text1"/>
          <w:sz w:val="40"/>
          <w:szCs w:val="40"/>
          <w14:textFill>
            <w14:solidFill>
              <w14:schemeClr w14:val="tx1"/>
            </w14:solidFill>
          </w14:textFill>
        </w:rPr>
        <w:t>第四章 评分标准</w:t>
      </w:r>
    </w:p>
    <w:p w14:paraId="1251B461">
      <w:pPr>
        <w:spacing w:before="120" w:after="120"/>
        <w:rPr>
          <w:rFonts w:hint="eastAsia" w:asciiTheme="minorEastAsia" w:hAnsiTheme="minorEastAsia" w:cstheme="minorEastAsia"/>
          <w:b/>
          <w:color w:val="000000" w:themeColor="text1"/>
          <w:sz w:val="30"/>
          <w14:textFill>
            <w14:solidFill>
              <w14:schemeClr w14:val="tx1"/>
            </w14:solidFill>
          </w14:textFill>
        </w:rPr>
      </w:pPr>
      <w:r>
        <w:rPr>
          <w:rFonts w:hint="eastAsia" w:asciiTheme="minorEastAsia" w:hAnsiTheme="minorEastAsia" w:cstheme="minorEastAsia"/>
          <w:b/>
          <w:color w:val="000000" w:themeColor="text1"/>
          <w:sz w:val="30"/>
          <w14:textFill>
            <w14:solidFill>
              <w14:schemeClr w14:val="tx1"/>
            </w14:solidFill>
          </w14:textFill>
        </w:rPr>
        <w:t>一、报价部分</w:t>
      </w:r>
    </w:p>
    <w:p w14:paraId="63819E3D">
      <w:pPr>
        <w:pStyle w:val="2"/>
        <w:ind w:firstLine="480" w:firstLineChars="200"/>
        <w:jc w:val="both"/>
      </w:pPr>
      <w:r>
        <w:rPr>
          <w:rFonts w:hint="eastAsia" w:asciiTheme="minorEastAsia" w:hAnsiTheme="minorEastAsia" w:eastAsiaTheme="minorEastAsia" w:cstheme="minorEastAsia"/>
          <w:b w:val="0"/>
          <w:bCs/>
          <w:sz w:val="24"/>
          <w:szCs w:val="20"/>
        </w:rPr>
        <w:t>报价部分依据投标人响应文件中的报价，每项由低到高依次排序，每项第一名得4分，第二名得3分，第三名得2分，第四名及之后得1分。</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0"/>
        <w:gridCol w:w="1180"/>
        <w:gridCol w:w="2716"/>
        <w:gridCol w:w="2906"/>
        <w:gridCol w:w="1195"/>
      </w:tblGrid>
      <w:tr w14:paraId="19BD0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exact"/>
        </w:trPr>
        <w:tc>
          <w:tcPr>
            <w:tcW w:w="520" w:type="dxa"/>
            <w:vAlign w:val="center"/>
          </w:tcPr>
          <w:p w14:paraId="7EA0826B">
            <w:pPr>
              <w:pStyle w:val="2"/>
              <w:jc w:val="center"/>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序号</w:t>
            </w:r>
          </w:p>
        </w:tc>
        <w:tc>
          <w:tcPr>
            <w:tcW w:w="1180" w:type="dxa"/>
            <w:vAlign w:val="center"/>
          </w:tcPr>
          <w:p w14:paraId="6EB8312A">
            <w:pPr>
              <w:pStyle w:val="2"/>
              <w:jc w:val="center"/>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服务内容</w:t>
            </w:r>
          </w:p>
        </w:tc>
        <w:tc>
          <w:tcPr>
            <w:tcW w:w="2716" w:type="dxa"/>
            <w:vAlign w:val="center"/>
          </w:tcPr>
          <w:p w14:paraId="2B43007C">
            <w:pPr>
              <w:pStyle w:val="2"/>
              <w:jc w:val="center"/>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服务要求</w:t>
            </w:r>
          </w:p>
        </w:tc>
        <w:tc>
          <w:tcPr>
            <w:tcW w:w="2906" w:type="dxa"/>
            <w:vAlign w:val="center"/>
          </w:tcPr>
          <w:p w14:paraId="44766200">
            <w:pPr>
              <w:pStyle w:val="2"/>
              <w:jc w:val="center"/>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报价</w:t>
            </w:r>
          </w:p>
        </w:tc>
        <w:tc>
          <w:tcPr>
            <w:tcW w:w="1195" w:type="dxa"/>
            <w:vAlign w:val="center"/>
          </w:tcPr>
          <w:p w14:paraId="0C9A6262">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总分值40分</w:t>
            </w:r>
          </w:p>
        </w:tc>
      </w:tr>
      <w:tr w14:paraId="4D717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8" w:hRule="exact"/>
        </w:trPr>
        <w:tc>
          <w:tcPr>
            <w:tcW w:w="8517" w:type="dxa"/>
            <w:gridSpan w:val="5"/>
            <w:vAlign w:val="center"/>
          </w:tcPr>
          <w:p w14:paraId="04F1DB29">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备注：以下报价为全包闭口总价，包含完成本项目全部工作内容所需的人工费、材料费、机械费、交通运输费、食宿费、税费、管理费、利润、风险费等一切不可预见费等所有全部费用，履约期间招标人不再另行支付任何其他费用。</w:t>
            </w:r>
          </w:p>
        </w:tc>
      </w:tr>
      <w:tr w14:paraId="6EDDE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520" w:type="dxa"/>
            <w:vMerge w:val="restart"/>
            <w:vAlign w:val="center"/>
          </w:tcPr>
          <w:p w14:paraId="15045D41">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1</w:t>
            </w:r>
          </w:p>
        </w:tc>
        <w:tc>
          <w:tcPr>
            <w:tcW w:w="1180" w:type="dxa"/>
            <w:vMerge w:val="restart"/>
            <w:vAlign w:val="center"/>
          </w:tcPr>
          <w:p w14:paraId="637A31D8">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color w:val="000000" w:themeColor="text1"/>
                <w:sz w:val="24"/>
                <w:szCs w:val="24"/>
                <w14:textFill>
                  <w14:solidFill>
                    <w14:schemeClr w14:val="tx1"/>
                  </w14:solidFill>
                </w14:textFill>
              </w:rPr>
              <w:t>安全生产宣传教育培训</w:t>
            </w:r>
          </w:p>
        </w:tc>
        <w:tc>
          <w:tcPr>
            <w:tcW w:w="2716" w:type="dxa"/>
            <w:vAlign w:val="center"/>
          </w:tcPr>
          <w:p w14:paraId="61D72440">
            <w:pPr>
              <w:pStyle w:val="2"/>
              <w:jc w:val="both"/>
              <w:rPr>
                <w:rFonts w:hint="eastAsia" w:asciiTheme="minorEastAsia" w:hAnsiTheme="minorEastAsia" w:eastAsiaTheme="minorEastAsia" w:cstheme="minorEastAsia"/>
                <w:b w:val="0"/>
                <w:bCs/>
                <w:sz w:val="24"/>
                <w:szCs w:val="20"/>
              </w:rPr>
            </w:pPr>
            <w:r>
              <w:rPr>
                <w:rFonts w:asciiTheme="minorEastAsia" w:hAnsiTheme="minorEastAsia" w:eastAsiaTheme="minorEastAsia" w:cstheme="minorEastAsia"/>
                <w:b w:val="0"/>
                <w:bCs/>
                <w:sz w:val="24"/>
                <w:szCs w:val="20"/>
              </w:rPr>
              <w:t>单</w:t>
            </w:r>
            <w:r>
              <w:rPr>
                <w:rFonts w:hint="eastAsia" w:asciiTheme="minorEastAsia" w:hAnsiTheme="minorEastAsia" w:eastAsiaTheme="minorEastAsia" w:cstheme="minorEastAsia"/>
                <w:b w:val="0"/>
                <w:bCs/>
                <w:sz w:val="24"/>
                <w:szCs w:val="20"/>
              </w:rPr>
              <w:t>次培训时长2个课时，每课时60-90分钟。</w:t>
            </w:r>
          </w:p>
        </w:tc>
        <w:tc>
          <w:tcPr>
            <w:tcW w:w="2906" w:type="dxa"/>
            <w:vAlign w:val="center"/>
          </w:tcPr>
          <w:p w14:paraId="1596A3F6">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培训费</w:t>
            </w:r>
            <w:r>
              <w:rPr>
                <w:rFonts w:hint="eastAsia" w:asciiTheme="minorEastAsia" w:hAnsiTheme="minorEastAsia" w:eastAsiaTheme="minorEastAsia" w:cstheme="minorEastAsia"/>
                <w:b w:val="0"/>
                <w:bCs/>
                <w:sz w:val="24"/>
                <w:szCs w:val="20"/>
                <w:u w:val="single"/>
              </w:rPr>
              <w:t xml:space="preserve">      </w:t>
            </w:r>
            <w:r>
              <w:rPr>
                <w:rFonts w:hint="eastAsia" w:asciiTheme="minorEastAsia" w:hAnsiTheme="minorEastAsia" w:eastAsiaTheme="minorEastAsia" w:cstheme="minorEastAsia"/>
                <w:b w:val="0"/>
                <w:bCs/>
                <w:sz w:val="24"/>
                <w:szCs w:val="20"/>
              </w:rPr>
              <w:t>元/次。</w:t>
            </w:r>
          </w:p>
          <w:p w14:paraId="4F1CDFBF">
            <w:pPr>
              <w:pStyle w:val="2"/>
              <w:jc w:val="both"/>
              <w:rPr>
                <w:rFonts w:hint="eastAsia" w:asciiTheme="minorEastAsia" w:hAnsiTheme="minorEastAsia" w:eastAsiaTheme="minorEastAsia" w:cstheme="minorEastAsia"/>
                <w:b w:val="0"/>
                <w:bCs/>
                <w:sz w:val="24"/>
                <w:szCs w:val="20"/>
              </w:rPr>
            </w:pPr>
          </w:p>
        </w:tc>
        <w:tc>
          <w:tcPr>
            <w:tcW w:w="1195" w:type="dxa"/>
            <w:vAlign w:val="center"/>
          </w:tcPr>
          <w:p w14:paraId="21C071E3">
            <w:pPr>
              <w:pStyle w:val="2"/>
              <w:jc w:val="center"/>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4</w:t>
            </w:r>
          </w:p>
        </w:tc>
      </w:tr>
      <w:tr w14:paraId="7C3DE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520" w:type="dxa"/>
            <w:vMerge w:val="continue"/>
            <w:vAlign w:val="center"/>
          </w:tcPr>
          <w:p w14:paraId="50FDD380">
            <w:pPr>
              <w:pStyle w:val="2"/>
              <w:jc w:val="both"/>
              <w:rPr>
                <w:rFonts w:hint="eastAsia" w:asciiTheme="minorEastAsia" w:hAnsiTheme="minorEastAsia" w:eastAsiaTheme="minorEastAsia" w:cstheme="minorEastAsia"/>
                <w:b w:val="0"/>
                <w:bCs/>
                <w:sz w:val="24"/>
                <w:szCs w:val="20"/>
              </w:rPr>
            </w:pPr>
          </w:p>
        </w:tc>
        <w:tc>
          <w:tcPr>
            <w:tcW w:w="1180" w:type="dxa"/>
            <w:vMerge w:val="continue"/>
            <w:vAlign w:val="center"/>
          </w:tcPr>
          <w:p w14:paraId="34A7BCD4">
            <w:pPr>
              <w:pStyle w:val="2"/>
              <w:jc w:val="both"/>
              <w:rPr>
                <w:rFonts w:hint="eastAsia" w:asciiTheme="minorEastAsia" w:hAnsiTheme="minorEastAsia" w:eastAsiaTheme="minorEastAsia" w:cstheme="minorEastAsia"/>
                <w:b w:val="0"/>
                <w:bCs/>
                <w:color w:val="000000" w:themeColor="text1"/>
                <w:sz w:val="24"/>
                <w:szCs w:val="24"/>
                <w14:textFill>
                  <w14:solidFill>
                    <w14:schemeClr w14:val="tx1"/>
                  </w14:solidFill>
                </w14:textFill>
              </w:rPr>
            </w:pPr>
          </w:p>
        </w:tc>
        <w:tc>
          <w:tcPr>
            <w:tcW w:w="2716" w:type="dxa"/>
            <w:vAlign w:val="center"/>
          </w:tcPr>
          <w:p w14:paraId="2203D700">
            <w:pPr>
              <w:pStyle w:val="2"/>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单</w:t>
            </w:r>
            <w:r>
              <w:rPr>
                <w:rFonts w:asciiTheme="minorEastAsia" w:hAnsiTheme="minorEastAsia" w:eastAsiaTheme="minorEastAsia" w:cstheme="minorEastAsia"/>
                <w:b w:val="0"/>
                <w:bCs/>
                <w:sz w:val="24"/>
                <w:szCs w:val="20"/>
              </w:rPr>
              <w:t>次培训规模</w:t>
            </w:r>
            <w:r>
              <w:rPr>
                <w:rFonts w:hint="eastAsia" w:asciiTheme="minorEastAsia" w:hAnsiTheme="minorEastAsia" w:eastAsiaTheme="minorEastAsia" w:cstheme="minorEastAsia"/>
                <w:b w:val="0"/>
                <w:bCs/>
                <w:sz w:val="24"/>
                <w:szCs w:val="20"/>
              </w:rPr>
              <w:t>100人（含）以下；培训时长2个课时，每课时60-90分钟。</w:t>
            </w:r>
          </w:p>
        </w:tc>
        <w:tc>
          <w:tcPr>
            <w:tcW w:w="2906" w:type="dxa"/>
            <w:vAlign w:val="center"/>
          </w:tcPr>
          <w:p w14:paraId="085BE781">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提供场地费、培训相关的设施设备费等相关费用总计</w:t>
            </w:r>
            <w:r>
              <w:rPr>
                <w:rFonts w:hint="eastAsia" w:asciiTheme="minorEastAsia" w:hAnsiTheme="minorEastAsia" w:eastAsiaTheme="minorEastAsia" w:cstheme="minorEastAsia"/>
                <w:b w:val="0"/>
                <w:bCs/>
                <w:sz w:val="24"/>
                <w:szCs w:val="20"/>
                <w:u w:val="single"/>
              </w:rPr>
              <w:t xml:space="preserve">     </w:t>
            </w:r>
            <w:r>
              <w:rPr>
                <w:rFonts w:hint="eastAsia" w:asciiTheme="minorEastAsia" w:hAnsiTheme="minorEastAsia" w:eastAsiaTheme="minorEastAsia" w:cstheme="minorEastAsia"/>
                <w:b w:val="0"/>
                <w:bCs/>
                <w:sz w:val="24"/>
                <w:szCs w:val="20"/>
              </w:rPr>
              <w:t>元/次</w:t>
            </w:r>
          </w:p>
        </w:tc>
        <w:tc>
          <w:tcPr>
            <w:tcW w:w="1195" w:type="dxa"/>
            <w:vAlign w:val="center"/>
          </w:tcPr>
          <w:p w14:paraId="48CD04CC">
            <w:pPr>
              <w:pStyle w:val="2"/>
              <w:jc w:val="center"/>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4</w:t>
            </w:r>
          </w:p>
        </w:tc>
      </w:tr>
      <w:tr w14:paraId="0E2A5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520" w:type="dxa"/>
            <w:vMerge w:val="continue"/>
            <w:vAlign w:val="center"/>
          </w:tcPr>
          <w:p w14:paraId="6D6637B4">
            <w:pPr>
              <w:pStyle w:val="2"/>
              <w:jc w:val="both"/>
              <w:rPr>
                <w:rFonts w:hint="eastAsia" w:asciiTheme="minorEastAsia" w:hAnsiTheme="minorEastAsia" w:eastAsiaTheme="minorEastAsia" w:cstheme="minorEastAsia"/>
                <w:b w:val="0"/>
                <w:bCs/>
                <w:sz w:val="24"/>
                <w:szCs w:val="20"/>
              </w:rPr>
            </w:pPr>
          </w:p>
        </w:tc>
        <w:tc>
          <w:tcPr>
            <w:tcW w:w="1180" w:type="dxa"/>
            <w:vMerge w:val="continue"/>
            <w:vAlign w:val="center"/>
          </w:tcPr>
          <w:p w14:paraId="0573F3B3">
            <w:pPr>
              <w:pStyle w:val="2"/>
              <w:jc w:val="both"/>
              <w:rPr>
                <w:rFonts w:hint="eastAsia" w:asciiTheme="minorEastAsia" w:hAnsiTheme="minorEastAsia" w:eastAsiaTheme="minorEastAsia" w:cstheme="minorEastAsia"/>
                <w:b w:val="0"/>
                <w:bCs/>
                <w:color w:val="000000" w:themeColor="text1"/>
                <w:sz w:val="24"/>
                <w:szCs w:val="24"/>
                <w14:textFill>
                  <w14:solidFill>
                    <w14:schemeClr w14:val="tx1"/>
                  </w14:solidFill>
                </w14:textFill>
              </w:rPr>
            </w:pPr>
          </w:p>
        </w:tc>
        <w:tc>
          <w:tcPr>
            <w:tcW w:w="2716" w:type="dxa"/>
            <w:vAlign w:val="center"/>
          </w:tcPr>
          <w:p w14:paraId="4C58BE84">
            <w:pPr>
              <w:pStyle w:val="2"/>
              <w:jc w:val="both"/>
              <w:rPr>
                <w:rFonts w:hint="eastAsia" w:asciiTheme="minorEastAsia" w:hAnsiTheme="minorEastAsia" w:eastAsiaTheme="minorEastAsia" w:cstheme="minorEastAsia"/>
                <w:b w:val="0"/>
                <w:bCs/>
                <w:sz w:val="24"/>
                <w:szCs w:val="20"/>
              </w:rPr>
            </w:pPr>
            <w:r>
              <w:rPr>
                <w:rFonts w:asciiTheme="minorEastAsia" w:hAnsiTheme="minorEastAsia" w:eastAsiaTheme="minorEastAsia" w:cstheme="minorEastAsia"/>
                <w:b w:val="0"/>
                <w:bCs/>
                <w:sz w:val="24"/>
                <w:szCs w:val="20"/>
              </w:rPr>
              <w:t>单次培训规模</w:t>
            </w:r>
            <w:r>
              <w:rPr>
                <w:rFonts w:hint="eastAsia" w:asciiTheme="minorEastAsia" w:hAnsiTheme="minorEastAsia" w:eastAsiaTheme="minorEastAsia" w:cstheme="minorEastAsia"/>
                <w:b w:val="0"/>
                <w:bCs/>
                <w:sz w:val="24"/>
                <w:szCs w:val="20"/>
              </w:rPr>
              <w:t>超过100人（不含）；培训时长2个课时，每课时60-90分钟。</w:t>
            </w:r>
          </w:p>
        </w:tc>
        <w:tc>
          <w:tcPr>
            <w:tcW w:w="2906" w:type="dxa"/>
            <w:vAlign w:val="center"/>
          </w:tcPr>
          <w:p w14:paraId="0391B968">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提供场地费、培训相关的设施设备费等相关费用总计</w:t>
            </w:r>
            <w:r>
              <w:rPr>
                <w:rFonts w:hint="eastAsia" w:asciiTheme="minorEastAsia" w:hAnsiTheme="minorEastAsia" w:eastAsiaTheme="minorEastAsia" w:cstheme="minorEastAsia"/>
                <w:b w:val="0"/>
                <w:bCs/>
                <w:sz w:val="24"/>
                <w:szCs w:val="20"/>
                <w:u w:val="single"/>
              </w:rPr>
              <w:t xml:space="preserve">     </w:t>
            </w:r>
            <w:r>
              <w:rPr>
                <w:rFonts w:hint="eastAsia" w:asciiTheme="minorEastAsia" w:hAnsiTheme="minorEastAsia" w:eastAsiaTheme="minorEastAsia" w:cstheme="minorEastAsia"/>
                <w:b w:val="0"/>
                <w:bCs/>
                <w:sz w:val="24"/>
                <w:szCs w:val="20"/>
              </w:rPr>
              <w:t>元/次</w:t>
            </w:r>
          </w:p>
        </w:tc>
        <w:tc>
          <w:tcPr>
            <w:tcW w:w="1195" w:type="dxa"/>
            <w:vAlign w:val="center"/>
          </w:tcPr>
          <w:p w14:paraId="08826A08">
            <w:pPr>
              <w:pStyle w:val="2"/>
              <w:jc w:val="center"/>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4</w:t>
            </w:r>
          </w:p>
        </w:tc>
      </w:tr>
      <w:tr w14:paraId="0509D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5" w:hRule="atLeast"/>
        </w:trPr>
        <w:tc>
          <w:tcPr>
            <w:tcW w:w="520" w:type="dxa"/>
            <w:vAlign w:val="center"/>
          </w:tcPr>
          <w:p w14:paraId="0A7ABA38">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2</w:t>
            </w:r>
          </w:p>
        </w:tc>
        <w:tc>
          <w:tcPr>
            <w:tcW w:w="1180" w:type="dxa"/>
            <w:vAlign w:val="center"/>
          </w:tcPr>
          <w:p w14:paraId="2146AC25">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color w:val="000000" w:themeColor="text1"/>
                <w:sz w:val="24"/>
                <w:szCs w:val="24"/>
                <w14:textFill>
                  <w14:solidFill>
                    <w14:schemeClr w14:val="tx1"/>
                  </w14:solidFill>
                </w14:textFill>
              </w:rPr>
              <w:t>安全风险辨识、评估、评价</w:t>
            </w:r>
          </w:p>
        </w:tc>
        <w:tc>
          <w:tcPr>
            <w:tcW w:w="2716" w:type="dxa"/>
            <w:vAlign w:val="center"/>
          </w:tcPr>
          <w:p w14:paraId="2F46CAF4">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风险辨识：对所有作业活动、设备设施、危险场所开展风险点排查；</w:t>
            </w:r>
          </w:p>
          <w:p w14:paraId="49E4BF5E">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风险评估：对风险点的可能性、影响程度进行评估，确定风险等级；</w:t>
            </w:r>
          </w:p>
          <w:p w14:paraId="678E52FC">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风险评价：结合行业标准与企业实际，判定重大风险、较大风险，分析风险产生原因与管控现状。</w:t>
            </w:r>
          </w:p>
          <w:p w14:paraId="5A128595">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具体要求：每个项目每次服务时长不少于3小时，服务人员数量不少于3人。</w:t>
            </w:r>
          </w:p>
        </w:tc>
        <w:tc>
          <w:tcPr>
            <w:tcW w:w="2906" w:type="dxa"/>
            <w:vAlign w:val="center"/>
          </w:tcPr>
          <w:p w14:paraId="139B7E85">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服务费用</w:t>
            </w:r>
            <w:r>
              <w:rPr>
                <w:rFonts w:hint="eastAsia" w:asciiTheme="minorEastAsia" w:hAnsiTheme="minorEastAsia" w:eastAsiaTheme="minorEastAsia" w:cstheme="minorEastAsia"/>
                <w:b w:val="0"/>
                <w:bCs/>
                <w:sz w:val="24"/>
                <w:szCs w:val="20"/>
                <w:u w:val="single"/>
              </w:rPr>
              <w:t xml:space="preserve">      </w:t>
            </w:r>
            <w:r>
              <w:rPr>
                <w:rFonts w:hint="eastAsia" w:asciiTheme="minorEastAsia" w:hAnsiTheme="minorEastAsia" w:eastAsiaTheme="minorEastAsia" w:cstheme="minorEastAsia"/>
                <w:b w:val="0"/>
                <w:bCs/>
                <w:sz w:val="24"/>
                <w:szCs w:val="20"/>
              </w:rPr>
              <w:t>元/次。</w:t>
            </w:r>
          </w:p>
        </w:tc>
        <w:tc>
          <w:tcPr>
            <w:tcW w:w="1195" w:type="dxa"/>
            <w:vAlign w:val="center"/>
          </w:tcPr>
          <w:p w14:paraId="4F51828A">
            <w:pPr>
              <w:pStyle w:val="2"/>
              <w:jc w:val="center"/>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4</w:t>
            </w:r>
          </w:p>
        </w:tc>
      </w:tr>
      <w:tr w14:paraId="23EFC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7" w:hRule="atLeast"/>
        </w:trPr>
        <w:tc>
          <w:tcPr>
            <w:tcW w:w="520" w:type="dxa"/>
            <w:vAlign w:val="center"/>
          </w:tcPr>
          <w:p w14:paraId="6606953A">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3</w:t>
            </w:r>
          </w:p>
        </w:tc>
        <w:tc>
          <w:tcPr>
            <w:tcW w:w="1180" w:type="dxa"/>
            <w:vAlign w:val="center"/>
          </w:tcPr>
          <w:p w14:paraId="2597B2F4">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color w:val="000000" w:themeColor="text1"/>
                <w:sz w:val="24"/>
                <w:szCs w:val="24"/>
                <w14:textFill>
                  <w14:solidFill>
                    <w14:schemeClr w14:val="tx1"/>
                  </w14:solidFill>
                </w14:textFill>
              </w:rPr>
              <w:t>安全生产标准化管理体系建设</w:t>
            </w:r>
          </w:p>
        </w:tc>
        <w:tc>
          <w:tcPr>
            <w:tcW w:w="2716" w:type="dxa"/>
            <w:vAlign w:val="center"/>
          </w:tcPr>
          <w:p w14:paraId="47B90F29">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根据相关要求，积极配合企业完善安全生产标准化体系建设工作，为企业提供相关咨询服务工作。</w:t>
            </w:r>
          </w:p>
          <w:p w14:paraId="21876D8A">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具体要求：每个项目每次咨询服务时长不少于2小时，服务人员数量不少于1人。</w:t>
            </w:r>
          </w:p>
        </w:tc>
        <w:tc>
          <w:tcPr>
            <w:tcW w:w="2906" w:type="dxa"/>
            <w:vAlign w:val="center"/>
          </w:tcPr>
          <w:p w14:paraId="63821236">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服务费用</w:t>
            </w:r>
            <w:r>
              <w:rPr>
                <w:rFonts w:hint="eastAsia" w:asciiTheme="minorEastAsia" w:hAnsiTheme="minorEastAsia" w:eastAsiaTheme="minorEastAsia" w:cstheme="minorEastAsia"/>
                <w:b w:val="0"/>
                <w:bCs/>
                <w:sz w:val="24"/>
                <w:szCs w:val="20"/>
                <w:u w:val="single"/>
              </w:rPr>
              <w:t xml:space="preserve">      </w:t>
            </w:r>
            <w:r>
              <w:rPr>
                <w:rFonts w:hint="eastAsia" w:asciiTheme="minorEastAsia" w:hAnsiTheme="minorEastAsia" w:eastAsiaTheme="minorEastAsia" w:cstheme="minorEastAsia"/>
                <w:b w:val="0"/>
                <w:bCs/>
                <w:sz w:val="24"/>
                <w:szCs w:val="20"/>
              </w:rPr>
              <w:t>元/次。</w:t>
            </w:r>
          </w:p>
        </w:tc>
        <w:tc>
          <w:tcPr>
            <w:tcW w:w="1195" w:type="dxa"/>
            <w:vAlign w:val="center"/>
          </w:tcPr>
          <w:p w14:paraId="10017B9C">
            <w:pPr>
              <w:pStyle w:val="2"/>
              <w:jc w:val="center"/>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4</w:t>
            </w:r>
          </w:p>
        </w:tc>
      </w:tr>
      <w:tr w14:paraId="09432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0" w:hRule="exact"/>
        </w:trPr>
        <w:tc>
          <w:tcPr>
            <w:tcW w:w="520" w:type="dxa"/>
            <w:vMerge w:val="restart"/>
            <w:vAlign w:val="center"/>
          </w:tcPr>
          <w:p w14:paraId="40FBB085">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4</w:t>
            </w:r>
          </w:p>
        </w:tc>
        <w:tc>
          <w:tcPr>
            <w:tcW w:w="1180" w:type="dxa"/>
            <w:vMerge w:val="restart"/>
            <w:vAlign w:val="center"/>
          </w:tcPr>
          <w:p w14:paraId="12AFAD4B">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color w:val="000000" w:themeColor="text1"/>
                <w:sz w:val="24"/>
                <w:szCs w:val="24"/>
                <w14:textFill>
                  <w14:solidFill>
                    <w14:schemeClr w14:val="tx1"/>
                  </w14:solidFill>
                </w14:textFill>
              </w:rPr>
              <w:t>生产安全重大事故隐患排查</w:t>
            </w:r>
          </w:p>
        </w:tc>
        <w:tc>
          <w:tcPr>
            <w:tcW w:w="2716" w:type="dxa"/>
            <w:vMerge w:val="restart"/>
            <w:vAlign w:val="center"/>
          </w:tcPr>
          <w:p w14:paraId="7897DAF4">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1. 排查准备：依据行业重大事故隐患判定标准，制定专项排查方案与检查表；</w:t>
            </w:r>
          </w:p>
          <w:p w14:paraId="74B7B222">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2. 现场排查：采用资料审查+现场核查方式，对企业生产工艺、设备设施、安全管理、应急管理等环节开展全面排查；</w:t>
            </w:r>
          </w:p>
          <w:p w14:paraId="4639A6FB">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3. 隐患判定：对照判定标准，对排查出的隐患进行分级，识别重大事故隐患，明确隐患现状、产生原因；</w:t>
            </w:r>
          </w:p>
          <w:p w14:paraId="2CC7C2ED">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4. 整改指导：制定重大隐患专项治理方案，明确整改目标、措施、责任人、时间节点、监控措施；</w:t>
            </w:r>
          </w:p>
          <w:p w14:paraId="068DCC7A">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5. 复查验收：对重大隐患整改情况进行复查，验证整改效果，闭环管理。</w:t>
            </w:r>
          </w:p>
          <w:p w14:paraId="08EA17A6">
            <w:pPr>
              <w:pStyle w:val="2"/>
              <w:jc w:val="both"/>
              <w:rPr>
                <w:rFonts w:hint="eastAsia" w:asciiTheme="minorEastAsia" w:hAnsiTheme="minorEastAsia" w:eastAsiaTheme="minorEastAsia" w:cstheme="minorEastAsia"/>
                <w:b w:val="0"/>
                <w:bCs/>
                <w:sz w:val="24"/>
                <w:szCs w:val="20"/>
              </w:rPr>
            </w:pPr>
          </w:p>
        </w:tc>
        <w:tc>
          <w:tcPr>
            <w:tcW w:w="2906" w:type="dxa"/>
            <w:vAlign w:val="center"/>
          </w:tcPr>
          <w:p w14:paraId="1799FF0B">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工程造价3000万（含）以下项目每次服务时长不少于1小时；每次服务人员不少于2人；</w:t>
            </w:r>
          </w:p>
          <w:p w14:paraId="09DA0445">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服务费用</w:t>
            </w:r>
            <w:r>
              <w:rPr>
                <w:rFonts w:hint="eastAsia" w:asciiTheme="minorEastAsia" w:hAnsiTheme="minorEastAsia" w:eastAsiaTheme="minorEastAsia" w:cstheme="minorEastAsia"/>
                <w:b w:val="0"/>
                <w:bCs/>
                <w:sz w:val="24"/>
                <w:szCs w:val="20"/>
                <w:u w:val="single"/>
              </w:rPr>
              <w:t xml:space="preserve">      </w:t>
            </w:r>
            <w:r>
              <w:rPr>
                <w:rFonts w:hint="eastAsia" w:asciiTheme="minorEastAsia" w:hAnsiTheme="minorEastAsia" w:eastAsiaTheme="minorEastAsia" w:cstheme="minorEastAsia"/>
                <w:b w:val="0"/>
                <w:bCs/>
                <w:sz w:val="24"/>
                <w:szCs w:val="20"/>
              </w:rPr>
              <w:t>元/次。</w:t>
            </w:r>
          </w:p>
        </w:tc>
        <w:tc>
          <w:tcPr>
            <w:tcW w:w="1195" w:type="dxa"/>
            <w:vAlign w:val="center"/>
          </w:tcPr>
          <w:p w14:paraId="0BE2722F">
            <w:pPr>
              <w:pStyle w:val="2"/>
              <w:jc w:val="center"/>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4</w:t>
            </w:r>
          </w:p>
        </w:tc>
      </w:tr>
      <w:tr w14:paraId="28555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9" w:hRule="exact"/>
        </w:trPr>
        <w:tc>
          <w:tcPr>
            <w:tcW w:w="520" w:type="dxa"/>
            <w:vMerge w:val="continue"/>
            <w:vAlign w:val="center"/>
          </w:tcPr>
          <w:p w14:paraId="6F69470C">
            <w:pPr>
              <w:pStyle w:val="2"/>
              <w:jc w:val="both"/>
              <w:rPr>
                <w:rFonts w:hint="eastAsia" w:asciiTheme="minorEastAsia" w:hAnsiTheme="minorEastAsia" w:eastAsiaTheme="minorEastAsia" w:cstheme="minorEastAsia"/>
                <w:b w:val="0"/>
                <w:bCs/>
                <w:sz w:val="24"/>
                <w:szCs w:val="20"/>
              </w:rPr>
            </w:pPr>
          </w:p>
        </w:tc>
        <w:tc>
          <w:tcPr>
            <w:tcW w:w="1180" w:type="dxa"/>
            <w:vMerge w:val="continue"/>
            <w:vAlign w:val="center"/>
          </w:tcPr>
          <w:p w14:paraId="34D79ADC">
            <w:pPr>
              <w:pStyle w:val="2"/>
              <w:jc w:val="both"/>
              <w:rPr>
                <w:rFonts w:hint="eastAsia" w:asciiTheme="minorEastAsia" w:hAnsiTheme="minorEastAsia" w:eastAsiaTheme="minorEastAsia" w:cstheme="minorEastAsia"/>
                <w:b w:val="0"/>
                <w:bCs/>
                <w:color w:val="000000" w:themeColor="text1"/>
                <w:sz w:val="24"/>
                <w:szCs w:val="24"/>
                <w14:textFill>
                  <w14:solidFill>
                    <w14:schemeClr w14:val="tx1"/>
                  </w14:solidFill>
                </w14:textFill>
              </w:rPr>
            </w:pPr>
          </w:p>
        </w:tc>
        <w:tc>
          <w:tcPr>
            <w:tcW w:w="2716" w:type="dxa"/>
            <w:vMerge w:val="continue"/>
            <w:vAlign w:val="center"/>
          </w:tcPr>
          <w:p w14:paraId="4E5CBB5E">
            <w:pPr>
              <w:pStyle w:val="2"/>
              <w:jc w:val="both"/>
              <w:rPr>
                <w:rFonts w:hint="eastAsia" w:asciiTheme="minorEastAsia" w:hAnsiTheme="minorEastAsia" w:eastAsiaTheme="minorEastAsia" w:cstheme="minorEastAsia"/>
                <w:b w:val="0"/>
                <w:bCs/>
                <w:sz w:val="24"/>
                <w:szCs w:val="20"/>
              </w:rPr>
            </w:pPr>
          </w:p>
        </w:tc>
        <w:tc>
          <w:tcPr>
            <w:tcW w:w="2906" w:type="dxa"/>
            <w:vAlign w:val="center"/>
          </w:tcPr>
          <w:p w14:paraId="568CEFFF">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工程造价3000万（不含）以上1亿元（含）以下的项目每次服务时长不少于2小时；每次服务人员不少于3人；</w:t>
            </w:r>
          </w:p>
          <w:p w14:paraId="77DFE439">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服务费用</w:t>
            </w:r>
            <w:r>
              <w:rPr>
                <w:rFonts w:hint="eastAsia" w:asciiTheme="minorEastAsia" w:hAnsiTheme="minorEastAsia" w:eastAsiaTheme="minorEastAsia" w:cstheme="minorEastAsia"/>
                <w:b w:val="0"/>
                <w:bCs/>
                <w:sz w:val="24"/>
                <w:szCs w:val="20"/>
                <w:u w:val="single"/>
              </w:rPr>
              <w:t xml:space="preserve">      </w:t>
            </w:r>
            <w:r>
              <w:rPr>
                <w:rFonts w:hint="eastAsia" w:asciiTheme="minorEastAsia" w:hAnsiTheme="minorEastAsia" w:eastAsiaTheme="minorEastAsia" w:cstheme="minorEastAsia"/>
                <w:b w:val="0"/>
                <w:bCs/>
                <w:sz w:val="24"/>
                <w:szCs w:val="20"/>
              </w:rPr>
              <w:t>元/次。</w:t>
            </w:r>
          </w:p>
        </w:tc>
        <w:tc>
          <w:tcPr>
            <w:tcW w:w="1195" w:type="dxa"/>
            <w:vAlign w:val="center"/>
          </w:tcPr>
          <w:p w14:paraId="63434FB2">
            <w:pPr>
              <w:pStyle w:val="2"/>
              <w:jc w:val="center"/>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4</w:t>
            </w:r>
          </w:p>
        </w:tc>
      </w:tr>
      <w:tr w14:paraId="21C1F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7" w:hRule="exact"/>
        </w:trPr>
        <w:tc>
          <w:tcPr>
            <w:tcW w:w="520" w:type="dxa"/>
            <w:vMerge w:val="continue"/>
            <w:vAlign w:val="center"/>
          </w:tcPr>
          <w:p w14:paraId="6DCD1F02">
            <w:pPr>
              <w:pStyle w:val="2"/>
              <w:jc w:val="both"/>
              <w:rPr>
                <w:rFonts w:hint="eastAsia" w:asciiTheme="minorEastAsia" w:hAnsiTheme="minorEastAsia" w:eastAsiaTheme="minorEastAsia" w:cstheme="minorEastAsia"/>
                <w:b w:val="0"/>
                <w:bCs/>
                <w:sz w:val="24"/>
                <w:szCs w:val="20"/>
              </w:rPr>
            </w:pPr>
          </w:p>
        </w:tc>
        <w:tc>
          <w:tcPr>
            <w:tcW w:w="1180" w:type="dxa"/>
            <w:vMerge w:val="continue"/>
            <w:vAlign w:val="center"/>
          </w:tcPr>
          <w:p w14:paraId="712B84FD">
            <w:pPr>
              <w:pStyle w:val="2"/>
              <w:jc w:val="both"/>
              <w:rPr>
                <w:rFonts w:hint="eastAsia" w:asciiTheme="minorEastAsia" w:hAnsiTheme="minorEastAsia" w:eastAsiaTheme="minorEastAsia" w:cstheme="minorEastAsia"/>
                <w:b w:val="0"/>
                <w:bCs/>
                <w:color w:val="000000" w:themeColor="text1"/>
                <w:sz w:val="24"/>
                <w:szCs w:val="24"/>
                <w14:textFill>
                  <w14:solidFill>
                    <w14:schemeClr w14:val="tx1"/>
                  </w14:solidFill>
                </w14:textFill>
              </w:rPr>
            </w:pPr>
          </w:p>
        </w:tc>
        <w:tc>
          <w:tcPr>
            <w:tcW w:w="2716" w:type="dxa"/>
            <w:vMerge w:val="continue"/>
            <w:vAlign w:val="center"/>
          </w:tcPr>
          <w:p w14:paraId="2D99C217">
            <w:pPr>
              <w:pStyle w:val="2"/>
              <w:jc w:val="both"/>
              <w:rPr>
                <w:rFonts w:hint="eastAsia" w:asciiTheme="minorEastAsia" w:hAnsiTheme="minorEastAsia" w:eastAsiaTheme="minorEastAsia" w:cstheme="minorEastAsia"/>
                <w:b w:val="0"/>
                <w:bCs/>
                <w:sz w:val="24"/>
                <w:szCs w:val="20"/>
              </w:rPr>
            </w:pPr>
          </w:p>
        </w:tc>
        <w:tc>
          <w:tcPr>
            <w:tcW w:w="2906" w:type="dxa"/>
            <w:vAlign w:val="center"/>
          </w:tcPr>
          <w:p w14:paraId="7EB7C0A5">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工程造价1亿元（不含）以上的项目每次服务时长不少于3小时；每次服务人员不少于4人；</w:t>
            </w:r>
          </w:p>
          <w:p w14:paraId="6A668767">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服务费用</w:t>
            </w:r>
            <w:r>
              <w:rPr>
                <w:rFonts w:hint="eastAsia" w:asciiTheme="minorEastAsia" w:hAnsiTheme="minorEastAsia" w:eastAsiaTheme="minorEastAsia" w:cstheme="minorEastAsia"/>
                <w:b w:val="0"/>
                <w:bCs/>
                <w:sz w:val="24"/>
                <w:szCs w:val="20"/>
                <w:u w:val="single"/>
              </w:rPr>
              <w:t xml:space="preserve">      </w:t>
            </w:r>
            <w:r>
              <w:rPr>
                <w:rFonts w:hint="eastAsia" w:asciiTheme="minorEastAsia" w:hAnsiTheme="minorEastAsia" w:eastAsiaTheme="minorEastAsia" w:cstheme="minorEastAsia"/>
                <w:b w:val="0"/>
                <w:bCs/>
                <w:sz w:val="24"/>
                <w:szCs w:val="20"/>
              </w:rPr>
              <w:t>元/次。</w:t>
            </w:r>
          </w:p>
        </w:tc>
        <w:tc>
          <w:tcPr>
            <w:tcW w:w="1195" w:type="dxa"/>
            <w:vAlign w:val="center"/>
          </w:tcPr>
          <w:p w14:paraId="7A657838">
            <w:pPr>
              <w:pStyle w:val="2"/>
              <w:jc w:val="center"/>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4</w:t>
            </w:r>
          </w:p>
        </w:tc>
      </w:tr>
      <w:tr w14:paraId="5426D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3" w:hRule="atLeast"/>
        </w:trPr>
        <w:tc>
          <w:tcPr>
            <w:tcW w:w="520" w:type="dxa"/>
            <w:vAlign w:val="center"/>
          </w:tcPr>
          <w:p w14:paraId="29DCFA5D">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5</w:t>
            </w:r>
          </w:p>
        </w:tc>
        <w:tc>
          <w:tcPr>
            <w:tcW w:w="1180" w:type="dxa"/>
            <w:vAlign w:val="center"/>
          </w:tcPr>
          <w:p w14:paraId="1D7D91F6">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color w:val="000000" w:themeColor="text1"/>
                <w:sz w:val="24"/>
                <w:szCs w:val="24"/>
                <w14:textFill>
                  <w14:solidFill>
                    <w14:schemeClr w14:val="tx1"/>
                  </w14:solidFill>
                </w14:textFill>
              </w:rPr>
              <w:t>安全生产应急预案编制和应急救援演练</w:t>
            </w:r>
          </w:p>
        </w:tc>
        <w:tc>
          <w:tcPr>
            <w:tcW w:w="2716" w:type="dxa"/>
            <w:vAlign w:val="center"/>
          </w:tcPr>
          <w:p w14:paraId="75554B7A">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依据本文件附件2《建筑工地消防演练和应急疏散预案》，协助企业编制综合应急预案或专项应急预案，并组织进行现场演练，并提供相关演练物资和技术服务；</w:t>
            </w:r>
          </w:p>
          <w:p w14:paraId="643D819A">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具体要求：每个项目每次演练时长2-4小时，参演人员30-50人。</w:t>
            </w:r>
          </w:p>
        </w:tc>
        <w:tc>
          <w:tcPr>
            <w:tcW w:w="2906" w:type="dxa"/>
            <w:vAlign w:val="center"/>
          </w:tcPr>
          <w:p w14:paraId="26A1DB92">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服务费用</w:t>
            </w:r>
            <w:r>
              <w:rPr>
                <w:rFonts w:hint="eastAsia" w:asciiTheme="minorEastAsia" w:hAnsiTheme="minorEastAsia" w:eastAsiaTheme="minorEastAsia" w:cstheme="minorEastAsia"/>
                <w:b w:val="0"/>
                <w:bCs/>
                <w:sz w:val="24"/>
                <w:szCs w:val="20"/>
                <w:u w:val="single"/>
              </w:rPr>
              <w:t xml:space="preserve">      </w:t>
            </w:r>
            <w:r>
              <w:rPr>
                <w:rFonts w:hint="eastAsia" w:asciiTheme="minorEastAsia" w:hAnsiTheme="minorEastAsia" w:eastAsiaTheme="minorEastAsia" w:cstheme="minorEastAsia"/>
                <w:b w:val="0"/>
                <w:bCs/>
                <w:sz w:val="24"/>
                <w:szCs w:val="20"/>
              </w:rPr>
              <w:t>元/次。</w:t>
            </w:r>
          </w:p>
        </w:tc>
        <w:tc>
          <w:tcPr>
            <w:tcW w:w="1195" w:type="dxa"/>
            <w:vAlign w:val="center"/>
          </w:tcPr>
          <w:p w14:paraId="2A7135B9">
            <w:pPr>
              <w:pStyle w:val="2"/>
              <w:jc w:val="center"/>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4</w:t>
            </w:r>
          </w:p>
        </w:tc>
      </w:tr>
      <w:tr w14:paraId="10DC7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2" w:hRule="atLeast"/>
        </w:trPr>
        <w:tc>
          <w:tcPr>
            <w:tcW w:w="520" w:type="dxa"/>
            <w:vAlign w:val="center"/>
          </w:tcPr>
          <w:p w14:paraId="703466F1">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6</w:t>
            </w:r>
          </w:p>
        </w:tc>
        <w:tc>
          <w:tcPr>
            <w:tcW w:w="1180" w:type="dxa"/>
            <w:vAlign w:val="center"/>
          </w:tcPr>
          <w:p w14:paraId="255E2E74">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color w:val="000000" w:themeColor="text1"/>
                <w:sz w:val="24"/>
                <w:szCs w:val="24"/>
                <w14:textFill>
                  <w14:solidFill>
                    <w14:schemeClr w14:val="tx1"/>
                  </w14:solidFill>
                </w14:textFill>
              </w:rPr>
              <w:t>安全生产科技创新、装备研发推广应用</w:t>
            </w:r>
          </w:p>
        </w:tc>
        <w:tc>
          <w:tcPr>
            <w:tcW w:w="2716" w:type="dxa"/>
            <w:vAlign w:val="center"/>
          </w:tcPr>
          <w:p w14:paraId="2928D835">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根据相关要求，积极配合企业推广，为企业提供相关咨询服务工作。</w:t>
            </w:r>
          </w:p>
          <w:p w14:paraId="1EFB2859">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每个项目每次咨询服务时长不少于2小时，服务人员数量不少于1人。</w:t>
            </w:r>
          </w:p>
        </w:tc>
        <w:tc>
          <w:tcPr>
            <w:tcW w:w="2906" w:type="dxa"/>
            <w:vAlign w:val="center"/>
          </w:tcPr>
          <w:p w14:paraId="24478F90">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服务费用</w:t>
            </w:r>
            <w:r>
              <w:rPr>
                <w:rFonts w:hint="eastAsia" w:asciiTheme="minorEastAsia" w:hAnsiTheme="minorEastAsia" w:eastAsiaTheme="minorEastAsia" w:cstheme="minorEastAsia"/>
                <w:b w:val="0"/>
                <w:bCs/>
                <w:sz w:val="24"/>
                <w:szCs w:val="20"/>
                <w:u w:val="single"/>
              </w:rPr>
              <w:t xml:space="preserve">      </w:t>
            </w:r>
            <w:r>
              <w:rPr>
                <w:rFonts w:hint="eastAsia" w:asciiTheme="minorEastAsia" w:hAnsiTheme="minorEastAsia" w:eastAsiaTheme="minorEastAsia" w:cstheme="minorEastAsia"/>
                <w:b w:val="0"/>
                <w:bCs/>
                <w:sz w:val="24"/>
                <w:szCs w:val="20"/>
              </w:rPr>
              <w:t>元/次。</w:t>
            </w:r>
          </w:p>
        </w:tc>
        <w:tc>
          <w:tcPr>
            <w:tcW w:w="1195" w:type="dxa"/>
            <w:vAlign w:val="center"/>
          </w:tcPr>
          <w:p w14:paraId="685B47C0">
            <w:pPr>
              <w:pStyle w:val="2"/>
              <w:jc w:val="center"/>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4</w:t>
            </w:r>
          </w:p>
        </w:tc>
      </w:tr>
      <w:tr w14:paraId="1ABE2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520" w:type="dxa"/>
            <w:vAlign w:val="center"/>
          </w:tcPr>
          <w:p w14:paraId="7428668F">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7</w:t>
            </w:r>
          </w:p>
        </w:tc>
        <w:tc>
          <w:tcPr>
            <w:tcW w:w="1180" w:type="dxa"/>
            <w:vAlign w:val="center"/>
          </w:tcPr>
          <w:p w14:paraId="4CF364A0">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color w:val="000000" w:themeColor="text1"/>
                <w:sz w:val="24"/>
                <w:szCs w:val="24"/>
                <w14:textFill>
                  <w14:solidFill>
                    <w14:schemeClr w14:val="tx1"/>
                  </w14:solidFill>
                </w14:textFill>
              </w:rPr>
              <w:t>其他有关事故预防工作</w:t>
            </w:r>
          </w:p>
        </w:tc>
        <w:tc>
          <w:tcPr>
            <w:tcW w:w="5622" w:type="dxa"/>
            <w:gridSpan w:val="2"/>
            <w:vAlign w:val="center"/>
          </w:tcPr>
          <w:p w14:paraId="30681E86">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此项不进行报价</w:t>
            </w:r>
          </w:p>
        </w:tc>
        <w:tc>
          <w:tcPr>
            <w:tcW w:w="1195" w:type="dxa"/>
            <w:vAlign w:val="center"/>
          </w:tcPr>
          <w:p w14:paraId="2567D0B3">
            <w:pPr>
              <w:pStyle w:val="2"/>
              <w:jc w:val="center"/>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无</w:t>
            </w:r>
          </w:p>
        </w:tc>
      </w:tr>
    </w:tbl>
    <w:p w14:paraId="0C7481E1">
      <w:pPr>
        <w:spacing w:before="120" w:after="120"/>
        <w:rPr>
          <w:rFonts w:hint="eastAsia" w:asciiTheme="minorEastAsia" w:hAnsiTheme="minorEastAsia" w:cstheme="minorEastAsia"/>
          <w:b/>
          <w:color w:val="000000" w:themeColor="text1"/>
          <w:sz w:val="30"/>
          <w14:textFill>
            <w14:solidFill>
              <w14:schemeClr w14:val="tx1"/>
            </w14:solidFill>
          </w14:textFill>
        </w:rPr>
      </w:pPr>
    </w:p>
    <w:p w14:paraId="6CA74FDB">
      <w:pPr>
        <w:spacing w:before="120" w:after="120"/>
        <w:rPr>
          <w:rFonts w:hint="eastAsia" w:asciiTheme="minorEastAsia" w:hAnsiTheme="minorEastAsia" w:cstheme="minorEastAsia"/>
          <w:b/>
          <w:color w:val="000000" w:themeColor="text1"/>
          <w:sz w:val="30"/>
          <w14:textFill>
            <w14:solidFill>
              <w14:schemeClr w14:val="tx1"/>
            </w14:solidFill>
          </w14:textFill>
        </w:rPr>
      </w:pPr>
      <w:r>
        <w:rPr>
          <w:rFonts w:hint="eastAsia" w:asciiTheme="minorEastAsia" w:hAnsiTheme="minorEastAsia" w:cstheme="minorEastAsia"/>
          <w:b/>
          <w:color w:val="000000" w:themeColor="text1"/>
          <w:sz w:val="30"/>
          <w14:textFill>
            <w14:solidFill>
              <w14:schemeClr w14:val="tx1"/>
            </w14:solidFill>
          </w14:textFill>
        </w:rPr>
        <w:t>二、技术服务部分</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0"/>
        <w:gridCol w:w="1180"/>
        <w:gridCol w:w="3433"/>
        <w:gridCol w:w="2189"/>
        <w:gridCol w:w="1195"/>
      </w:tblGrid>
      <w:tr w14:paraId="15AD5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exact"/>
        </w:trPr>
        <w:tc>
          <w:tcPr>
            <w:tcW w:w="520" w:type="dxa"/>
            <w:vAlign w:val="center"/>
          </w:tcPr>
          <w:p w14:paraId="69AF6A75">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序号</w:t>
            </w:r>
          </w:p>
        </w:tc>
        <w:tc>
          <w:tcPr>
            <w:tcW w:w="1180" w:type="dxa"/>
            <w:vAlign w:val="center"/>
          </w:tcPr>
          <w:p w14:paraId="09940BE9">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服务内容</w:t>
            </w:r>
          </w:p>
        </w:tc>
        <w:tc>
          <w:tcPr>
            <w:tcW w:w="3433" w:type="dxa"/>
            <w:vAlign w:val="center"/>
          </w:tcPr>
          <w:p w14:paraId="0F99915C">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服务要求</w:t>
            </w:r>
          </w:p>
        </w:tc>
        <w:tc>
          <w:tcPr>
            <w:tcW w:w="2189" w:type="dxa"/>
            <w:vAlign w:val="center"/>
          </w:tcPr>
          <w:p w14:paraId="116A343E">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得分标准</w:t>
            </w:r>
          </w:p>
        </w:tc>
        <w:tc>
          <w:tcPr>
            <w:tcW w:w="1195" w:type="dxa"/>
            <w:vAlign w:val="center"/>
          </w:tcPr>
          <w:p w14:paraId="3262DC61">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总分值60分</w:t>
            </w:r>
          </w:p>
        </w:tc>
      </w:tr>
      <w:tr w14:paraId="02330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4" w:hRule="exact"/>
        </w:trPr>
        <w:tc>
          <w:tcPr>
            <w:tcW w:w="520" w:type="dxa"/>
            <w:vAlign w:val="center"/>
          </w:tcPr>
          <w:p w14:paraId="35B0F913">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1</w:t>
            </w:r>
          </w:p>
        </w:tc>
        <w:tc>
          <w:tcPr>
            <w:tcW w:w="1180" w:type="dxa"/>
            <w:vAlign w:val="center"/>
          </w:tcPr>
          <w:p w14:paraId="61502664">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专家队伍</w:t>
            </w:r>
          </w:p>
        </w:tc>
        <w:tc>
          <w:tcPr>
            <w:tcW w:w="3433" w:type="dxa"/>
            <w:vAlign w:val="center"/>
          </w:tcPr>
          <w:p w14:paraId="5ADDB806">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供应商具有宣城市安全专家库的专家或安徽省及省级以上安全专家库的专家，提供专家的身份证明、资质证书。</w:t>
            </w:r>
          </w:p>
        </w:tc>
        <w:tc>
          <w:tcPr>
            <w:tcW w:w="2189" w:type="dxa"/>
            <w:vAlign w:val="center"/>
          </w:tcPr>
          <w:p w14:paraId="06E99506">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每名专家得2分。此项最高得10分。</w:t>
            </w:r>
          </w:p>
        </w:tc>
        <w:tc>
          <w:tcPr>
            <w:tcW w:w="1195" w:type="dxa"/>
            <w:vAlign w:val="center"/>
          </w:tcPr>
          <w:p w14:paraId="4A06CEA9">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10</w:t>
            </w:r>
          </w:p>
        </w:tc>
      </w:tr>
      <w:tr w14:paraId="79F4D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3" w:hRule="exact"/>
        </w:trPr>
        <w:tc>
          <w:tcPr>
            <w:tcW w:w="520" w:type="dxa"/>
            <w:vAlign w:val="center"/>
          </w:tcPr>
          <w:p w14:paraId="7BB39395">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2</w:t>
            </w:r>
          </w:p>
        </w:tc>
        <w:tc>
          <w:tcPr>
            <w:tcW w:w="1180" w:type="dxa"/>
            <w:vAlign w:val="center"/>
          </w:tcPr>
          <w:p w14:paraId="3331C706">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安全生产标准化技术服务业绩</w:t>
            </w:r>
          </w:p>
        </w:tc>
        <w:tc>
          <w:tcPr>
            <w:tcW w:w="3433" w:type="dxa"/>
            <w:vAlign w:val="center"/>
          </w:tcPr>
          <w:p w14:paraId="17AD0062">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提供相关业绩证明。</w:t>
            </w:r>
          </w:p>
        </w:tc>
        <w:tc>
          <w:tcPr>
            <w:tcW w:w="2189" w:type="dxa"/>
            <w:vAlign w:val="center"/>
          </w:tcPr>
          <w:p w14:paraId="62F462DA">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每提供一项业绩证明得5分，此项最高得10分。</w:t>
            </w:r>
          </w:p>
        </w:tc>
        <w:tc>
          <w:tcPr>
            <w:tcW w:w="1195" w:type="dxa"/>
            <w:vAlign w:val="center"/>
          </w:tcPr>
          <w:p w14:paraId="54812853">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10</w:t>
            </w:r>
          </w:p>
        </w:tc>
      </w:tr>
      <w:tr w14:paraId="78D41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9" w:hRule="exact"/>
        </w:trPr>
        <w:tc>
          <w:tcPr>
            <w:tcW w:w="520" w:type="dxa"/>
            <w:vAlign w:val="center"/>
          </w:tcPr>
          <w:p w14:paraId="41F1DA62">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3</w:t>
            </w:r>
          </w:p>
        </w:tc>
        <w:tc>
          <w:tcPr>
            <w:tcW w:w="1180" w:type="dxa"/>
            <w:vAlign w:val="center"/>
          </w:tcPr>
          <w:p w14:paraId="7653B7FE">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生产安全重大事故隐患排查服务业绩</w:t>
            </w:r>
          </w:p>
        </w:tc>
        <w:tc>
          <w:tcPr>
            <w:tcW w:w="3433" w:type="dxa"/>
            <w:vAlign w:val="center"/>
          </w:tcPr>
          <w:p w14:paraId="04C675AD">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提供相关业绩证明。</w:t>
            </w:r>
          </w:p>
        </w:tc>
        <w:tc>
          <w:tcPr>
            <w:tcW w:w="2189" w:type="dxa"/>
            <w:vAlign w:val="center"/>
          </w:tcPr>
          <w:p w14:paraId="4C9D1EA0">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每提供一项业绩证明得5分，此项最高得10分。</w:t>
            </w:r>
          </w:p>
        </w:tc>
        <w:tc>
          <w:tcPr>
            <w:tcW w:w="1195" w:type="dxa"/>
            <w:vAlign w:val="center"/>
          </w:tcPr>
          <w:p w14:paraId="42ACC37B">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10</w:t>
            </w:r>
          </w:p>
        </w:tc>
      </w:tr>
      <w:tr w14:paraId="6A11C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4" w:hRule="exact"/>
        </w:trPr>
        <w:tc>
          <w:tcPr>
            <w:tcW w:w="520" w:type="dxa"/>
            <w:vAlign w:val="center"/>
          </w:tcPr>
          <w:p w14:paraId="7BF572EB">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4</w:t>
            </w:r>
          </w:p>
        </w:tc>
        <w:tc>
          <w:tcPr>
            <w:tcW w:w="1180" w:type="dxa"/>
            <w:vAlign w:val="center"/>
          </w:tcPr>
          <w:p w14:paraId="12469F2E">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安全生产应急预案编制和应急救援演练技术服务业绩</w:t>
            </w:r>
          </w:p>
        </w:tc>
        <w:tc>
          <w:tcPr>
            <w:tcW w:w="3433" w:type="dxa"/>
            <w:vAlign w:val="center"/>
          </w:tcPr>
          <w:p w14:paraId="3A555A4A">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提供相关业绩证明。</w:t>
            </w:r>
          </w:p>
        </w:tc>
        <w:tc>
          <w:tcPr>
            <w:tcW w:w="2189" w:type="dxa"/>
            <w:vAlign w:val="center"/>
          </w:tcPr>
          <w:p w14:paraId="777593A8">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每提供一项业绩证明得5分，此项最高得10分。</w:t>
            </w:r>
          </w:p>
        </w:tc>
        <w:tc>
          <w:tcPr>
            <w:tcW w:w="1195" w:type="dxa"/>
            <w:vAlign w:val="center"/>
          </w:tcPr>
          <w:p w14:paraId="74AE9EDF">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10</w:t>
            </w:r>
          </w:p>
        </w:tc>
      </w:tr>
      <w:tr w14:paraId="6C2DC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1" w:hRule="exact"/>
        </w:trPr>
        <w:tc>
          <w:tcPr>
            <w:tcW w:w="520" w:type="dxa"/>
            <w:vAlign w:val="center"/>
          </w:tcPr>
          <w:p w14:paraId="462CD867">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5</w:t>
            </w:r>
          </w:p>
        </w:tc>
        <w:tc>
          <w:tcPr>
            <w:tcW w:w="1180" w:type="dxa"/>
            <w:vAlign w:val="center"/>
          </w:tcPr>
          <w:p w14:paraId="4176C754">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color w:val="000000" w:themeColor="text1"/>
                <w:sz w:val="24"/>
                <w:szCs w:val="24"/>
                <w14:textFill>
                  <w14:solidFill>
                    <w14:schemeClr w14:val="tx1"/>
                  </w14:solidFill>
                </w14:textFill>
              </w:rPr>
              <w:t>安全生产科技创新、装备研发推广应用</w:t>
            </w:r>
          </w:p>
        </w:tc>
        <w:tc>
          <w:tcPr>
            <w:tcW w:w="3433" w:type="dxa"/>
            <w:vAlign w:val="center"/>
          </w:tcPr>
          <w:p w14:paraId="04C9A82D">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提供相关业绩证明。</w:t>
            </w:r>
          </w:p>
        </w:tc>
        <w:tc>
          <w:tcPr>
            <w:tcW w:w="2189" w:type="dxa"/>
            <w:vAlign w:val="center"/>
          </w:tcPr>
          <w:p w14:paraId="474584D6">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每提供一项业绩证明得5分，此项最高得10分。</w:t>
            </w:r>
          </w:p>
        </w:tc>
        <w:tc>
          <w:tcPr>
            <w:tcW w:w="1195" w:type="dxa"/>
            <w:vAlign w:val="center"/>
          </w:tcPr>
          <w:p w14:paraId="5105F250">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10</w:t>
            </w:r>
          </w:p>
        </w:tc>
      </w:tr>
      <w:tr w14:paraId="27670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6" w:hRule="exact"/>
        </w:trPr>
        <w:tc>
          <w:tcPr>
            <w:tcW w:w="520" w:type="dxa"/>
            <w:vAlign w:val="center"/>
          </w:tcPr>
          <w:p w14:paraId="33708287">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6</w:t>
            </w:r>
          </w:p>
        </w:tc>
        <w:tc>
          <w:tcPr>
            <w:tcW w:w="1180" w:type="dxa"/>
            <w:vAlign w:val="center"/>
          </w:tcPr>
          <w:p w14:paraId="7E4C5446">
            <w:pPr>
              <w:pStyle w:val="2"/>
              <w:jc w:val="both"/>
              <w:rPr>
                <w:rFonts w:hint="eastAsia" w:asciiTheme="minorEastAsia" w:hAnsiTheme="minorEastAsia" w:eastAsiaTheme="minorEastAsia" w:cstheme="minorEastAsia"/>
                <w:b w:val="0"/>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val="0"/>
                <w:bCs/>
                <w:color w:val="000000" w:themeColor="text1"/>
                <w:sz w:val="24"/>
                <w:szCs w:val="24"/>
                <w14:textFill>
                  <w14:solidFill>
                    <w14:schemeClr w14:val="tx1"/>
                  </w14:solidFill>
                </w14:textFill>
              </w:rPr>
              <w:t>技术服务方案</w:t>
            </w:r>
          </w:p>
        </w:tc>
        <w:tc>
          <w:tcPr>
            <w:tcW w:w="3433" w:type="dxa"/>
            <w:vAlign w:val="center"/>
          </w:tcPr>
          <w:p w14:paraId="5149FC76">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编制专业技术服务方案。</w:t>
            </w:r>
          </w:p>
        </w:tc>
        <w:tc>
          <w:tcPr>
            <w:tcW w:w="2189" w:type="dxa"/>
            <w:vAlign w:val="center"/>
          </w:tcPr>
          <w:p w14:paraId="1E671E99">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方案评价等级分优秀（得分10分）、良好（得分7分）、合格（得分5分）、不合格（0分）。</w:t>
            </w:r>
          </w:p>
        </w:tc>
        <w:tc>
          <w:tcPr>
            <w:tcW w:w="1195" w:type="dxa"/>
            <w:vAlign w:val="center"/>
          </w:tcPr>
          <w:p w14:paraId="750DA45A">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10</w:t>
            </w:r>
          </w:p>
        </w:tc>
      </w:tr>
    </w:tbl>
    <w:p w14:paraId="36E665FA">
      <w:pPr>
        <w:spacing w:before="320" w:after="120"/>
        <w:ind w:firstLine="883" w:firstLineChars="200"/>
        <w:outlineLvl w:val="1"/>
        <w:rPr>
          <w:rFonts w:hint="eastAsia" w:asciiTheme="minorEastAsia" w:hAnsiTheme="minorEastAsia" w:cstheme="minorEastAsia"/>
          <w:b/>
          <w:color w:val="000000" w:themeColor="text1"/>
          <w:sz w:val="44"/>
          <w:szCs w:val="44"/>
          <w14:textFill>
            <w14:solidFill>
              <w14:schemeClr w14:val="tx1"/>
            </w14:solidFill>
          </w14:textFill>
        </w:rPr>
        <w:sectPr>
          <w:pgSz w:w="11905" w:h="16840"/>
          <w:pgMar w:top="1440" w:right="1800" w:bottom="1440" w:left="1800" w:header="720" w:footer="720" w:gutter="0"/>
          <w:pgNumType w:fmt="numberInDash"/>
          <w:cols w:space="720" w:num="1"/>
        </w:sectPr>
      </w:pPr>
    </w:p>
    <w:p w14:paraId="3FE2F60C">
      <w:pPr>
        <w:spacing w:before="320" w:after="120"/>
        <w:jc w:val="center"/>
        <w:outlineLvl w:val="1"/>
        <w:rPr>
          <w:rFonts w:hint="eastAsia" w:asciiTheme="minorEastAsia" w:hAnsiTheme="minorEastAsia" w:cstheme="minorEastAsia"/>
          <w:color w:val="000000" w:themeColor="text1"/>
          <w:sz w:val="36"/>
          <w:szCs w:val="36"/>
          <w14:textFill>
            <w14:solidFill>
              <w14:schemeClr w14:val="tx1"/>
            </w14:solidFill>
          </w14:textFill>
        </w:rPr>
      </w:pPr>
      <w:r>
        <w:rPr>
          <w:rFonts w:hint="eastAsia" w:asciiTheme="minorEastAsia" w:hAnsiTheme="minorEastAsia" w:cstheme="minorEastAsia"/>
          <w:b/>
          <w:color w:val="000000" w:themeColor="text1"/>
          <w:sz w:val="36"/>
          <w:szCs w:val="36"/>
          <w14:textFill>
            <w14:solidFill>
              <w14:schemeClr w14:val="tx1"/>
            </w14:solidFill>
          </w14:textFill>
        </w:rPr>
        <w:t>第五章 评审方法和成交标准</w:t>
      </w:r>
      <w:bookmarkEnd w:id="14"/>
    </w:p>
    <w:p w14:paraId="0105F61E">
      <w:pPr>
        <w:spacing w:before="300" w:after="120" w:line="360" w:lineRule="auto"/>
        <w:ind w:firstLine="562" w:firstLineChars="200"/>
        <w:outlineLvl w:val="2"/>
        <w:rPr>
          <w:rFonts w:hint="eastAsia" w:asciiTheme="minorEastAsia" w:hAnsiTheme="minorEastAsia" w:cstheme="minorEastAsia"/>
          <w:color w:val="000000" w:themeColor="text1"/>
          <w:sz w:val="28"/>
          <w:szCs w:val="28"/>
          <w14:textFill>
            <w14:solidFill>
              <w14:schemeClr w14:val="tx1"/>
            </w14:solidFill>
          </w14:textFill>
        </w:rPr>
      </w:pPr>
      <w:bookmarkStart w:id="15" w:name="heading_24"/>
      <w:r>
        <w:rPr>
          <w:rFonts w:hint="eastAsia" w:asciiTheme="minorEastAsia" w:hAnsiTheme="minorEastAsia" w:cstheme="minorEastAsia"/>
          <w:b/>
          <w:color w:val="000000" w:themeColor="text1"/>
          <w:sz w:val="28"/>
          <w:szCs w:val="28"/>
          <w14:textFill>
            <w14:solidFill>
              <w14:schemeClr w14:val="tx1"/>
            </w14:solidFill>
          </w14:textFill>
        </w:rPr>
        <w:t>一、评审原则</w:t>
      </w:r>
      <w:bookmarkEnd w:id="15"/>
    </w:p>
    <w:p w14:paraId="5CBF8283">
      <w:pPr>
        <w:spacing w:before="120" w:after="120" w:line="360" w:lineRule="auto"/>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遵循公平、公正、科学、择优的原则，磋商小组独立对供应商响应文件进行综合评审。</w:t>
      </w:r>
    </w:p>
    <w:p w14:paraId="39FEBC79">
      <w:pPr>
        <w:pStyle w:val="2"/>
        <w:spacing w:line="360" w:lineRule="auto"/>
        <w:ind w:firstLine="562" w:firstLineChars="200"/>
        <w:jc w:val="both"/>
        <w:rPr>
          <w:rFonts w:hint="eastAsia" w:asciiTheme="minorEastAsia" w:hAnsiTheme="minorEastAsia" w:eastAsiaTheme="minorEastAsia" w:cstheme="minorEastAsia"/>
          <w:b w:val="0"/>
          <w:color w:val="000000" w:themeColor="text1"/>
          <w:kern w:val="2"/>
          <w:sz w:val="28"/>
          <w:szCs w:val="28"/>
          <w14:textFill>
            <w14:solidFill>
              <w14:schemeClr w14:val="tx1"/>
            </w14:solidFill>
          </w14:textFill>
        </w:rPr>
      </w:pPr>
      <w:bookmarkStart w:id="16" w:name="heading_27"/>
      <w:r>
        <w:rPr>
          <w:rFonts w:hint="eastAsia" w:asciiTheme="minorEastAsia" w:hAnsiTheme="minorEastAsia" w:eastAsiaTheme="minorEastAsia" w:cstheme="minorEastAsia"/>
          <w:bCs/>
          <w:color w:val="000000" w:themeColor="text1"/>
          <w:sz w:val="28"/>
          <w:szCs w:val="28"/>
          <w14:textFill>
            <w14:solidFill>
              <w14:schemeClr w14:val="tx1"/>
            </w14:solidFill>
          </w14:textFill>
        </w:rPr>
        <w:t>二、评审办法</w:t>
      </w:r>
    </w:p>
    <w:p w14:paraId="7C914DF0">
      <w:pPr>
        <w:pStyle w:val="2"/>
        <w:spacing w:line="360" w:lineRule="auto"/>
        <w:ind w:firstLine="560" w:firstLineChars="200"/>
        <w:jc w:val="both"/>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b w:val="0"/>
          <w:color w:val="000000" w:themeColor="text1"/>
          <w:sz w:val="28"/>
          <w:szCs w:val="28"/>
          <w14:textFill>
            <w14:solidFill>
              <w14:schemeClr w14:val="tx1"/>
            </w14:solidFill>
          </w14:textFill>
        </w:rPr>
        <w:t>本次磋商采用综合评审法，在满足采购需求、服务质量和服务期限的前提下，综合评审得分最高的供应商为第一成交候选人，依次类推。</w:t>
      </w:r>
    </w:p>
    <w:p w14:paraId="6D67E42D">
      <w:pPr>
        <w:pStyle w:val="3"/>
        <w:spacing w:before="0" w:after="0" w:line="360" w:lineRule="auto"/>
        <w:ind w:firstLine="562" w:firstLineChars="200"/>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三、评审细则</w:t>
      </w:r>
    </w:p>
    <w:p w14:paraId="45A97314">
      <w:pPr>
        <w:spacing w:line="360" w:lineRule="auto"/>
        <w:ind w:firstLine="562"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b/>
          <w:color w:val="000000" w:themeColor="text1"/>
          <w:sz w:val="28"/>
          <w:szCs w:val="28"/>
          <w14:textFill>
            <w14:solidFill>
              <w14:schemeClr w14:val="tx1"/>
            </w14:solidFill>
          </w14:textFill>
        </w:rPr>
        <w:t>（一）初审</w:t>
      </w:r>
    </w:p>
    <w:p w14:paraId="10B0B34A">
      <w:pPr>
        <w:adjustRightInd w:val="0"/>
        <w:snapToGrid w:val="0"/>
        <w:spacing w:line="360" w:lineRule="auto"/>
        <w:ind w:right="-11"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1.由</w:t>
      </w:r>
      <w:r>
        <w:rPr>
          <w:rFonts w:hint="eastAsia" w:asciiTheme="minorEastAsia" w:hAnsiTheme="minorEastAsia" w:cstheme="minorEastAsia"/>
          <w:sz w:val="28"/>
          <w:szCs w:val="28"/>
          <w:u w:val="single"/>
        </w:rPr>
        <w:t>郎溪县建设工程监理协会、安徽国元保险经纪股份有限公司宣城分公司和中国人民财产保险股份有限公司宣城市分公司国元农业保险股份有限公司宣城中心支公司、中国人寿财产保险股份有限公司宣城市中心支公司和申能财产保险股份有限公司宣城中心支公司</w:t>
      </w:r>
      <w:r>
        <w:rPr>
          <w:rFonts w:hint="eastAsia" w:asciiTheme="minorEastAsia" w:hAnsiTheme="minorEastAsia" w:cstheme="minorEastAsia"/>
          <w:color w:val="000000" w:themeColor="text1"/>
          <w:sz w:val="28"/>
          <w:szCs w:val="28"/>
          <w14:textFill>
            <w14:solidFill>
              <w14:schemeClr w14:val="tx1"/>
            </w14:solidFill>
          </w14:textFill>
        </w:rPr>
        <w:t>共同组成评委会，评委会成员依据招标文件的要求，对所有投标人提交的报价文件进行初审，了解其对招标文件是否做出了实质性的响应，提供的资料是否真实有效，初审指标如下：</w:t>
      </w:r>
    </w:p>
    <w:tbl>
      <w:tblPr>
        <w:tblStyle w:val="11"/>
        <w:tblW w:w="92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5"/>
        <w:gridCol w:w="1763"/>
        <w:gridCol w:w="3730"/>
        <w:gridCol w:w="814"/>
        <w:gridCol w:w="2378"/>
      </w:tblGrid>
      <w:tr w14:paraId="18451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jc w:val="center"/>
        </w:trPr>
        <w:tc>
          <w:tcPr>
            <w:tcW w:w="9210" w:type="dxa"/>
            <w:gridSpan w:val="5"/>
            <w:vAlign w:val="center"/>
          </w:tcPr>
          <w:p w14:paraId="65DADC5F">
            <w:pPr>
              <w:pStyle w:val="14"/>
              <w:pBdr>
                <w:bottom w:val="none" w:color="auto" w:sz="0" w:space="0"/>
              </w:pBdr>
              <w:tabs>
                <w:tab w:val="clear" w:pos="4153"/>
                <w:tab w:val="clear" w:pos="8306"/>
              </w:tabs>
              <w:snapToGrid w:val="0"/>
              <w:spacing w:line="240" w:lineRule="auto"/>
              <w:ind w:right="-10"/>
              <w:textAlignment w:val="auto"/>
              <w:rPr>
                <w:rFonts w:hint="eastAsia" w:asciiTheme="minorEastAsia" w:hAnsiTheme="minorEastAsia" w:cstheme="minorEastAsia"/>
                <w:b/>
                <w:color w:val="000000" w:themeColor="text1"/>
                <w:szCs w:val="24"/>
                <w:u w:val="single"/>
                <w14:textFill>
                  <w14:solidFill>
                    <w14:schemeClr w14:val="tx1"/>
                  </w14:solidFill>
                </w14:textFill>
              </w:rPr>
            </w:pPr>
            <w:r>
              <w:rPr>
                <w:rFonts w:hint="eastAsia" w:asciiTheme="minorEastAsia" w:hAnsiTheme="minorEastAsia" w:cstheme="minorEastAsia"/>
                <w:b/>
                <w:color w:val="000000" w:themeColor="text1"/>
                <w:kern w:val="2"/>
                <w:szCs w:val="24"/>
                <w14:textFill>
                  <w14:solidFill>
                    <w14:schemeClr w14:val="tx1"/>
                  </w14:solidFill>
                </w14:textFill>
              </w:rPr>
              <w:t>初审表</w:t>
            </w:r>
          </w:p>
        </w:tc>
      </w:tr>
      <w:tr w14:paraId="0AA94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210" w:type="dxa"/>
            <w:gridSpan w:val="5"/>
            <w:vAlign w:val="center"/>
          </w:tcPr>
          <w:p w14:paraId="2D46A80A">
            <w:pPr>
              <w:adjustRightInd w:val="0"/>
              <w:snapToGrid w:val="0"/>
              <w:ind w:right="-10"/>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投标人：</w:t>
            </w:r>
          </w:p>
        </w:tc>
      </w:tr>
      <w:tr w14:paraId="15EFC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210" w:type="dxa"/>
            <w:gridSpan w:val="5"/>
            <w:vAlign w:val="center"/>
          </w:tcPr>
          <w:p w14:paraId="1A10EA0D">
            <w:pPr>
              <w:adjustRightInd w:val="0"/>
              <w:snapToGrid w:val="0"/>
              <w:ind w:right="-10"/>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初审指标</w:t>
            </w:r>
          </w:p>
        </w:tc>
      </w:tr>
      <w:tr w14:paraId="55C19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jc w:val="center"/>
        </w:trPr>
        <w:tc>
          <w:tcPr>
            <w:tcW w:w="525" w:type="dxa"/>
            <w:tcBorders>
              <w:bottom w:val="single" w:color="auto" w:sz="4" w:space="0"/>
            </w:tcBorders>
            <w:vAlign w:val="center"/>
          </w:tcPr>
          <w:p w14:paraId="2A0290F0">
            <w:pPr>
              <w:adjustRightInd w:val="0"/>
              <w:snapToGrid w:val="0"/>
              <w:ind w:right="-10"/>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序号</w:t>
            </w:r>
          </w:p>
        </w:tc>
        <w:tc>
          <w:tcPr>
            <w:tcW w:w="1763" w:type="dxa"/>
            <w:tcBorders>
              <w:bottom w:val="single" w:color="auto" w:sz="4" w:space="0"/>
            </w:tcBorders>
            <w:vAlign w:val="center"/>
          </w:tcPr>
          <w:p w14:paraId="3F7F09A6">
            <w:pPr>
              <w:pStyle w:val="14"/>
              <w:pBdr>
                <w:bottom w:val="none" w:color="auto" w:sz="0" w:space="0"/>
              </w:pBdr>
              <w:tabs>
                <w:tab w:val="clear" w:pos="4153"/>
                <w:tab w:val="clear" w:pos="8306"/>
              </w:tabs>
              <w:snapToGrid w:val="0"/>
              <w:spacing w:line="240" w:lineRule="auto"/>
              <w:ind w:right="-10"/>
              <w:textAlignment w:val="auto"/>
              <w:rPr>
                <w:rFonts w:hint="eastAsia" w:asciiTheme="minorEastAsia" w:hAnsiTheme="minorEastAsia" w:cstheme="minorEastAsia"/>
                <w:color w:val="000000" w:themeColor="text1"/>
                <w:kern w:val="2"/>
                <w:szCs w:val="24"/>
                <w14:textFill>
                  <w14:solidFill>
                    <w14:schemeClr w14:val="tx1"/>
                  </w14:solidFill>
                </w14:textFill>
              </w:rPr>
            </w:pPr>
            <w:r>
              <w:rPr>
                <w:rFonts w:hint="eastAsia" w:asciiTheme="minorEastAsia" w:hAnsiTheme="minorEastAsia" w:cstheme="minorEastAsia"/>
                <w:color w:val="000000" w:themeColor="text1"/>
                <w:kern w:val="2"/>
                <w:szCs w:val="24"/>
                <w14:textFill>
                  <w14:solidFill>
                    <w14:schemeClr w14:val="tx1"/>
                  </w14:solidFill>
                </w14:textFill>
              </w:rPr>
              <w:t>指标名称</w:t>
            </w:r>
          </w:p>
        </w:tc>
        <w:tc>
          <w:tcPr>
            <w:tcW w:w="3730" w:type="dxa"/>
            <w:tcBorders>
              <w:bottom w:val="single" w:color="auto" w:sz="4" w:space="0"/>
            </w:tcBorders>
            <w:vAlign w:val="center"/>
          </w:tcPr>
          <w:p w14:paraId="07A20391">
            <w:pPr>
              <w:adjustRightInd w:val="0"/>
              <w:snapToGrid w:val="0"/>
              <w:ind w:right="-10"/>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指标要求</w:t>
            </w:r>
          </w:p>
        </w:tc>
        <w:tc>
          <w:tcPr>
            <w:tcW w:w="814" w:type="dxa"/>
            <w:tcBorders>
              <w:bottom w:val="single" w:color="auto" w:sz="4" w:space="0"/>
            </w:tcBorders>
            <w:vAlign w:val="center"/>
          </w:tcPr>
          <w:p w14:paraId="6D6F987B">
            <w:pPr>
              <w:adjustRightInd w:val="0"/>
              <w:snapToGrid w:val="0"/>
              <w:ind w:right="-10"/>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是否通过</w:t>
            </w:r>
          </w:p>
        </w:tc>
        <w:tc>
          <w:tcPr>
            <w:tcW w:w="2378" w:type="dxa"/>
            <w:tcBorders>
              <w:bottom w:val="single" w:color="auto" w:sz="4" w:space="0"/>
            </w:tcBorders>
            <w:vAlign w:val="center"/>
          </w:tcPr>
          <w:p w14:paraId="6D399979">
            <w:pPr>
              <w:adjustRightInd w:val="0"/>
              <w:snapToGrid w:val="0"/>
              <w:ind w:right="-10"/>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格式或提交资料要求</w:t>
            </w:r>
          </w:p>
        </w:tc>
      </w:tr>
      <w:tr w14:paraId="39B3E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2" w:hRule="atLeast"/>
          <w:jc w:val="center"/>
        </w:trPr>
        <w:tc>
          <w:tcPr>
            <w:tcW w:w="525" w:type="dxa"/>
            <w:vAlign w:val="center"/>
          </w:tcPr>
          <w:p w14:paraId="7F6F21BF">
            <w:pPr>
              <w:adjustRightInd w:val="0"/>
              <w:snapToGrid w:val="0"/>
              <w:ind w:right="-10"/>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1</w:t>
            </w:r>
          </w:p>
        </w:tc>
        <w:tc>
          <w:tcPr>
            <w:tcW w:w="1763" w:type="dxa"/>
            <w:vAlign w:val="center"/>
          </w:tcPr>
          <w:p w14:paraId="656EA19B">
            <w:pPr>
              <w:spacing w:after="50"/>
              <w:ind w:right="-10"/>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营业执照</w:t>
            </w:r>
          </w:p>
        </w:tc>
        <w:tc>
          <w:tcPr>
            <w:tcW w:w="3730" w:type="dxa"/>
            <w:vAlign w:val="center"/>
          </w:tcPr>
          <w:p w14:paraId="603AB603">
            <w:pPr>
              <w:spacing w:after="50"/>
              <w:ind w:right="-10"/>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合法有效</w:t>
            </w:r>
          </w:p>
        </w:tc>
        <w:tc>
          <w:tcPr>
            <w:tcW w:w="814" w:type="dxa"/>
            <w:vAlign w:val="center"/>
          </w:tcPr>
          <w:p w14:paraId="476570D9">
            <w:pPr>
              <w:adjustRightInd w:val="0"/>
              <w:snapToGrid w:val="0"/>
              <w:ind w:right="-10"/>
              <w:rPr>
                <w:rFonts w:hint="eastAsia" w:asciiTheme="minorEastAsia" w:hAnsiTheme="minorEastAsia" w:cstheme="minorEastAsia"/>
                <w:color w:val="000000" w:themeColor="text1"/>
                <w:sz w:val="24"/>
                <w:szCs w:val="24"/>
                <w14:textFill>
                  <w14:solidFill>
                    <w14:schemeClr w14:val="tx1"/>
                  </w14:solidFill>
                </w14:textFill>
              </w:rPr>
            </w:pPr>
          </w:p>
        </w:tc>
        <w:tc>
          <w:tcPr>
            <w:tcW w:w="2378" w:type="dxa"/>
            <w:vAlign w:val="center"/>
          </w:tcPr>
          <w:p w14:paraId="19A713EB">
            <w:pPr>
              <w:adjustRightInd w:val="0"/>
              <w:snapToGrid w:val="0"/>
              <w:ind w:right="-10"/>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提供合法有效的营业执照复印件或扫描件并加盖公章</w:t>
            </w:r>
          </w:p>
        </w:tc>
      </w:tr>
      <w:tr w14:paraId="6A74B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2" w:hRule="atLeast"/>
          <w:jc w:val="center"/>
        </w:trPr>
        <w:tc>
          <w:tcPr>
            <w:tcW w:w="525" w:type="dxa"/>
            <w:vAlign w:val="center"/>
          </w:tcPr>
          <w:p w14:paraId="45690244">
            <w:pPr>
              <w:adjustRightInd w:val="0"/>
              <w:snapToGrid w:val="0"/>
              <w:ind w:right="-10"/>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2</w:t>
            </w:r>
          </w:p>
        </w:tc>
        <w:tc>
          <w:tcPr>
            <w:tcW w:w="1763" w:type="dxa"/>
            <w:vAlign w:val="center"/>
          </w:tcPr>
          <w:p w14:paraId="6888D327">
            <w:pPr>
              <w:spacing w:after="50"/>
              <w:ind w:right="-10"/>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采购需求响应情况</w:t>
            </w:r>
          </w:p>
        </w:tc>
        <w:tc>
          <w:tcPr>
            <w:tcW w:w="3730" w:type="dxa"/>
            <w:vAlign w:val="center"/>
          </w:tcPr>
          <w:p w14:paraId="641960F3">
            <w:pPr>
              <w:spacing w:after="50"/>
              <w:ind w:right="-10"/>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响应招标文件要求</w:t>
            </w:r>
          </w:p>
        </w:tc>
        <w:tc>
          <w:tcPr>
            <w:tcW w:w="814" w:type="dxa"/>
            <w:vAlign w:val="center"/>
          </w:tcPr>
          <w:p w14:paraId="3CA925B1">
            <w:pPr>
              <w:adjustRightInd w:val="0"/>
              <w:snapToGrid w:val="0"/>
              <w:ind w:right="-10"/>
              <w:rPr>
                <w:rFonts w:hint="eastAsia" w:asciiTheme="minorEastAsia" w:hAnsiTheme="minorEastAsia" w:cstheme="minorEastAsia"/>
                <w:color w:val="000000" w:themeColor="text1"/>
                <w:sz w:val="24"/>
                <w:szCs w:val="24"/>
                <w14:textFill>
                  <w14:solidFill>
                    <w14:schemeClr w14:val="tx1"/>
                  </w14:solidFill>
                </w14:textFill>
              </w:rPr>
            </w:pPr>
          </w:p>
        </w:tc>
        <w:tc>
          <w:tcPr>
            <w:tcW w:w="2378" w:type="dxa"/>
            <w:vAlign w:val="center"/>
          </w:tcPr>
          <w:p w14:paraId="4017C1DB">
            <w:pPr>
              <w:adjustRightInd w:val="0"/>
              <w:snapToGrid w:val="0"/>
              <w:ind w:right="-10"/>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响应内容、保险方案及响应承诺书加盖公章</w:t>
            </w:r>
          </w:p>
        </w:tc>
      </w:tr>
      <w:tr w14:paraId="7AF0A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3" w:hRule="atLeast"/>
          <w:jc w:val="center"/>
        </w:trPr>
        <w:tc>
          <w:tcPr>
            <w:tcW w:w="525" w:type="dxa"/>
            <w:vAlign w:val="center"/>
          </w:tcPr>
          <w:p w14:paraId="1BAEF472">
            <w:pPr>
              <w:adjustRightInd w:val="0"/>
              <w:snapToGrid w:val="0"/>
              <w:ind w:right="-10"/>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3</w:t>
            </w:r>
          </w:p>
        </w:tc>
        <w:tc>
          <w:tcPr>
            <w:tcW w:w="1763" w:type="dxa"/>
            <w:vAlign w:val="center"/>
          </w:tcPr>
          <w:p w14:paraId="21E487F1">
            <w:pPr>
              <w:spacing w:after="50"/>
              <w:ind w:right="-10"/>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服务人员相关资质</w:t>
            </w:r>
          </w:p>
        </w:tc>
        <w:tc>
          <w:tcPr>
            <w:tcW w:w="3730" w:type="dxa"/>
            <w:vAlign w:val="center"/>
          </w:tcPr>
          <w:p w14:paraId="573FE9D0">
            <w:pPr>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bCs/>
                <w:color w:val="000000" w:themeColor="text1"/>
                <w:sz w:val="24"/>
                <w:szCs w:val="24"/>
                <w14:textFill>
                  <w14:solidFill>
                    <w14:schemeClr w14:val="tx1"/>
                  </w14:solidFill>
                </w14:textFill>
              </w:rPr>
              <w:t>有专业的服务团队，服务人员具有安全生产服务资质</w:t>
            </w:r>
          </w:p>
        </w:tc>
        <w:tc>
          <w:tcPr>
            <w:tcW w:w="814" w:type="dxa"/>
            <w:vAlign w:val="center"/>
          </w:tcPr>
          <w:p w14:paraId="49F9B26B">
            <w:pPr>
              <w:adjustRightInd w:val="0"/>
              <w:snapToGrid w:val="0"/>
              <w:ind w:right="-10"/>
              <w:rPr>
                <w:rFonts w:hint="eastAsia" w:asciiTheme="minorEastAsia" w:hAnsiTheme="minorEastAsia" w:cstheme="minorEastAsia"/>
                <w:color w:val="000000" w:themeColor="text1"/>
                <w:sz w:val="24"/>
                <w:szCs w:val="24"/>
                <w14:textFill>
                  <w14:solidFill>
                    <w14:schemeClr w14:val="tx1"/>
                  </w14:solidFill>
                </w14:textFill>
              </w:rPr>
            </w:pPr>
          </w:p>
        </w:tc>
        <w:tc>
          <w:tcPr>
            <w:tcW w:w="2378" w:type="dxa"/>
            <w:vAlign w:val="center"/>
          </w:tcPr>
          <w:p w14:paraId="0B3E9541">
            <w:pPr>
              <w:adjustRightInd w:val="0"/>
              <w:snapToGrid w:val="0"/>
              <w:ind w:right="-10"/>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资质证书复印件或扫描件加盖公章</w:t>
            </w:r>
          </w:p>
        </w:tc>
      </w:tr>
      <w:tr w14:paraId="41531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4" w:hRule="atLeast"/>
          <w:jc w:val="center"/>
        </w:trPr>
        <w:tc>
          <w:tcPr>
            <w:tcW w:w="525" w:type="dxa"/>
            <w:vAlign w:val="center"/>
          </w:tcPr>
          <w:p w14:paraId="7CF88D4E">
            <w:pPr>
              <w:adjustRightInd w:val="0"/>
              <w:snapToGrid w:val="0"/>
              <w:ind w:right="-10"/>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4</w:t>
            </w:r>
          </w:p>
        </w:tc>
        <w:tc>
          <w:tcPr>
            <w:tcW w:w="1763" w:type="dxa"/>
            <w:vAlign w:val="center"/>
          </w:tcPr>
          <w:p w14:paraId="6651E258">
            <w:pPr>
              <w:spacing w:after="50"/>
              <w:ind w:right="-10"/>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本地化服务</w:t>
            </w:r>
          </w:p>
        </w:tc>
        <w:tc>
          <w:tcPr>
            <w:tcW w:w="3730" w:type="dxa"/>
            <w:vAlign w:val="center"/>
          </w:tcPr>
          <w:p w14:paraId="6E65314B">
            <w:pPr>
              <w:rPr>
                <w:rFonts w:hint="eastAsia" w:asciiTheme="minorEastAsia" w:hAnsiTheme="minorEastAsia" w:cstheme="minorEastAsia"/>
                <w:bCs/>
                <w:color w:val="000000" w:themeColor="text1"/>
                <w:sz w:val="24"/>
                <w:szCs w:val="24"/>
                <w14:textFill>
                  <w14:solidFill>
                    <w14:schemeClr w14:val="tx1"/>
                  </w14:solidFill>
                </w14:textFill>
              </w:rPr>
            </w:pPr>
            <w:r>
              <w:rPr>
                <w:rFonts w:hint="eastAsia" w:asciiTheme="minorEastAsia" w:hAnsiTheme="minorEastAsia" w:cstheme="minorEastAsia"/>
                <w:bCs/>
                <w:color w:val="000000" w:themeColor="text1"/>
                <w:sz w:val="24"/>
                <w:szCs w:val="24"/>
                <w14:textFill>
                  <w14:solidFill>
                    <w14:schemeClr w14:val="tx1"/>
                  </w14:solidFill>
                </w14:textFill>
              </w:rPr>
              <w:t>在</w:t>
            </w:r>
            <w:r>
              <w:rPr>
                <w:rFonts w:hint="eastAsia" w:asciiTheme="minorEastAsia" w:hAnsiTheme="minorEastAsia" w:cstheme="minorEastAsia"/>
                <w:bCs/>
                <w:sz w:val="24"/>
                <w:szCs w:val="24"/>
              </w:rPr>
              <w:t>郎溪县有</w:t>
            </w:r>
            <w:r>
              <w:rPr>
                <w:rFonts w:hint="eastAsia" w:asciiTheme="minorEastAsia" w:hAnsiTheme="minorEastAsia" w:cstheme="minorEastAsia"/>
                <w:bCs/>
                <w:color w:val="000000" w:themeColor="text1"/>
                <w:sz w:val="24"/>
                <w:szCs w:val="24"/>
                <w14:textFill>
                  <w14:solidFill>
                    <w14:schemeClr w14:val="tx1"/>
                  </w14:solidFill>
                </w14:textFill>
              </w:rPr>
              <w:t>营业场所或服务场所，能够为本次采购提供本地化服务</w:t>
            </w:r>
          </w:p>
        </w:tc>
        <w:tc>
          <w:tcPr>
            <w:tcW w:w="814" w:type="dxa"/>
            <w:vAlign w:val="center"/>
          </w:tcPr>
          <w:p w14:paraId="3B20F698">
            <w:pPr>
              <w:adjustRightInd w:val="0"/>
              <w:snapToGrid w:val="0"/>
              <w:ind w:right="-10"/>
              <w:rPr>
                <w:rFonts w:hint="eastAsia" w:asciiTheme="minorEastAsia" w:hAnsiTheme="minorEastAsia" w:cstheme="minorEastAsia"/>
                <w:color w:val="000000" w:themeColor="text1"/>
                <w:sz w:val="24"/>
                <w:szCs w:val="24"/>
                <w14:textFill>
                  <w14:solidFill>
                    <w14:schemeClr w14:val="tx1"/>
                  </w14:solidFill>
                </w14:textFill>
              </w:rPr>
            </w:pPr>
          </w:p>
        </w:tc>
        <w:tc>
          <w:tcPr>
            <w:tcW w:w="2378" w:type="dxa"/>
            <w:vAlign w:val="center"/>
          </w:tcPr>
          <w:p w14:paraId="7AA0F1DE">
            <w:pPr>
              <w:adjustRightInd w:val="0"/>
              <w:snapToGrid w:val="0"/>
              <w:ind w:right="-10"/>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1.有营业场所的提供营业执照和营业场所现场照片</w:t>
            </w:r>
          </w:p>
          <w:p w14:paraId="0B6BCAE3">
            <w:pPr>
              <w:adjustRightInd w:val="0"/>
              <w:snapToGrid w:val="0"/>
              <w:ind w:right="-10"/>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2.未设立营业场所的，应当设有服务场所，提供服务场所的产权证明或租房合同、服务场所现场照片</w:t>
            </w:r>
          </w:p>
        </w:tc>
      </w:tr>
      <w:tr w14:paraId="18025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3" w:hRule="atLeast"/>
          <w:jc w:val="center"/>
        </w:trPr>
        <w:tc>
          <w:tcPr>
            <w:tcW w:w="525" w:type="dxa"/>
            <w:vAlign w:val="center"/>
          </w:tcPr>
          <w:p w14:paraId="2B818AF3">
            <w:pPr>
              <w:adjustRightInd w:val="0"/>
              <w:snapToGrid w:val="0"/>
              <w:ind w:right="-10"/>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5</w:t>
            </w:r>
          </w:p>
        </w:tc>
        <w:tc>
          <w:tcPr>
            <w:tcW w:w="1763" w:type="dxa"/>
            <w:vAlign w:val="center"/>
          </w:tcPr>
          <w:p w14:paraId="23BC55C9">
            <w:pPr>
              <w:spacing w:after="50"/>
              <w:ind w:right="-10"/>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证明材料</w:t>
            </w:r>
          </w:p>
        </w:tc>
        <w:tc>
          <w:tcPr>
            <w:tcW w:w="3730" w:type="dxa"/>
            <w:vAlign w:val="center"/>
          </w:tcPr>
          <w:p w14:paraId="0B33BAC4">
            <w:pPr>
              <w:rPr>
                <w:rFonts w:hint="eastAsia" w:asciiTheme="minorEastAsia" w:hAnsiTheme="minorEastAsia" w:cstheme="minorEastAsia"/>
                <w:bCs/>
                <w:color w:val="000000" w:themeColor="text1"/>
                <w:sz w:val="24"/>
                <w:szCs w:val="24"/>
                <w14:textFill>
                  <w14:solidFill>
                    <w14:schemeClr w14:val="tx1"/>
                  </w14:solidFill>
                </w14:textFill>
              </w:rPr>
            </w:pPr>
            <w:r>
              <w:rPr>
                <w:rFonts w:hint="eastAsia" w:asciiTheme="minorEastAsia" w:hAnsiTheme="minorEastAsia" w:cstheme="minorEastAsia"/>
                <w:bCs/>
                <w:color w:val="000000" w:themeColor="text1"/>
                <w:sz w:val="24"/>
                <w:szCs w:val="24"/>
                <w14:textFill>
                  <w14:solidFill>
                    <w14:schemeClr w14:val="tx1"/>
                  </w14:solidFill>
                </w14:textFill>
              </w:rPr>
              <w:t>报价单位自行提供能够证明其服务能力的相关材料</w:t>
            </w:r>
          </w:p>
        </w:tc>
        <w:tc>
          <w:tcPr>
            <w:tcW w:w="814" w:type="dxa"/>
            <w:vAlign w:val="center"/>
          </w:tcPr>
          <w:p w14:paraId="5A90B443">
            <w:pPr>
              <w:adjustRightInd w:val="0"/>
              <w:snapToGrid w:val="0"/>
              <w:ind w:right="-10"/>
              <w:rPr>
                <w:rFonts w:hint="eastAsia" w:asciiTheme="minorEastAsia" w:hAnsiTheme="minorEastAsia" w:cstheme="minorEastAsia"/>
                <w:color w:val="000000" w:themeColor="text1"/>
                <w:sz w:val="24"/>
                <w:szCs w:val="24"/>
                <w14:textFill>
                  <w14:solidFill>
                    <w14:schemeClr w14:val="tx1"/>
                  </w14:solidFill>
                </w14:textFill>
              </w:rPr>
            </w:pPr>
          </w:p>
        </w:tc>
        <w:tc>
          <w:tcPr>
            <w:tcW w:w="2378" w:type="dxa"/>
            <w:vAlign w:val="center"/>
          </w:tcPr>
          <w:p w14:paraId="7C605DFB">
            <w:pPr>
              <w:adjustRightInd w:val="0"/>
              <w:snapToGrid w:val="0"/>
              <w:ind w:right="-10"/>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bCs/>
                <w:color w:val="000000" w:themeColor="text1"/>
                <w:sz w:val="24"/>
                <w:szCs w:val="24"/>
                <w14:textFill>
                  <w14:solidFill>
                    <w14:schemeClr w14:val="tx1"/>
                  </w14:solidFill>
                </w14:textFill>
              </w:rPr>
              <w:t>复印件或扫描件加盖公章</w:t>
            </w:r>
          </w:p>
        </w:tc>
      </w:tr>
      <w:tr w14:paraId="444EE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 w:hRule="atLeast"/>
          <w:jc w:val="center"/>
        </w:trPr>
        <w:tc>
          <w:tcPr>
            <w:tcW w:w="525" w:type="dxa"/>
            <w:vAlign w:val="center"/>
          </w:tcPr>
          <w:p w14:paraId="2D138D40">
            <w:pPr>
              <w:adjustRightInd w:val="0"/>
              <w:snapToGrid w:val="0"/>
              <w:ind w:right="-10"/>
              <w:rPr>
                <w:rFonts w:hint="eastAsia" w:asciiTheme="minorEastAsia" w:hAnsiTheme="minorEastAsia" w:cstheme="minorEastAsia"/>
                <w:color w:val="000000" w:themeColor="text1"/>
                <w:sz w:val="24"/>
                <w:szCs w:val="24"/>
                <w14:textFill>
                  <w14:solidFill>
                    <w14:schemeClr w14:val="tx1"/>
                  </w14:solidFill>
                </w14:textFill>
              </w:rPr>
            </w:pPr>
          </w:p>
        </w:tc>
        <w:tc>
          <w:tcPr>
            <w:tcW w:w="8685" w:type="dxa"/>
            <w:gridSpan w:val="4"/>
            <w:vAlign w:val="center"/>
          </w:tcPr>
          <w:p w14:paraId="621E9F5F">
            <w:pPr>
              <w:adjustRightInd w:val="0"/>
              <w:snapToGrid w:val="0"/>
              <w:ind w:right="-10"/>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初审指标通过标准：投标人必须通过上述全部指标。</w:t>
            </w:r>
          </w:p>
          <w:p w14:paraId="4BD4F885">
            <w:pPr>
              <w:adjustRightInd w:val="0"/>
              <w:snapToGrid w:val="0"/>
              <w:ind w:right="-10"/>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b/>
                <w:color w:val="000000" w:themeColor="text1"/>
                <w:sz w:val="24"/>
                <w:szCs w:val="24"/>
                <w14:textFill>
                  <w14:solidFill>
                    <w14:schemeClr w14:val="tx1"/>
                  </w14:solidFill>
                </w14:textFill>
              </w:rPr>
              <w:t>注：以上要求提供的相关证明材料装订入报价文件内。</w:t>
            </w:r>
          </w:p>
        </w:tc>
      </w:tr>
    </w:tbl>
    <w:p w14:paraId="22FCB90E">
      <w:pPr>
        <w:adjustRightInd w:val="0"/>
        <w:snapToGrid w:val="0"/>
        <w:spacing w:line="360" w:lineRule="auto"/>
        <w:ind w:right="-10"/>
        <w:rPr>
          <w:rFonts w:hint="eastAsia" w:asciiTheme="minorEastAsia" w:hAnsiTheme="minorEastAsia" w:cstheme="minorEastAsia"/>
          <w:color w:val="000000" w:themeColor="text1"/>
          <w:sz w:val="24"/>
          <w:szCs w:val="24"/>
          <w14:textFill>
            <w14:solidFill>
              <w14:schemeClr w14:val="tx1"/>
            </w14:solidFill>
          </w14:textFill>
        </w:rPr>
      </w:pPr>
    </w:p>
    <w:p w14:paraId="54541EB5">
      <w:pPr>
        <w:adjustRightInd w:val="0"/>
        <w:snapToGrid w:val="0"/>
        <w:spacing w:line="360" w:lineRule="auto"/>
        <w:ind w:right="-11"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2. 评审结论分为通过和未通过。对否定的初审指标，评委要提出充足的否定理由，并填写在评审表上。</w:t>
      </w:r>
    </w:p>
    <w:p w14:paraId="3A2AF0AD">
      <w:pPr>
        <w:adjustRightInd w:val="0"/>
        <w:snapToGrid w:val="0"/>
        <w:spacing w:line="360" w:lineRule="auto"/>
        <w:ind w:right="-11" w:firstLine="560" w:firstLineChars="200"/>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3. 如果投标人的投标文件未通过初审，则为无效标。评委会不再对其作进一步的评审。</w:t>
      </w:r>
    </w:p>
    <w:p w14:paraId="1C5FFE68">
      <w:pPr>
        <w:adjustRightInd w:val="0"/>
        <w:snapToGrid w:val="0"/>
        <w:spacing w:line="360" w:lineRule="auto"/>
        <w:ind w:right="-10" w:firstLine="562" w:firstLineChars="200"/>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b/>
          <w:color w:val="000000" w:themeColor="text1"/>
          <w:sz w:val="28"/>
          <w:szCs w:val="28"/>
          <w14:textFill>
            <w14:solidFill>
              <w14:schemeClr w14:val="tx1"/>
            </w14:solidFill>
          </w14:textFill>
        </w:rPr>
        <w:t>（二）评分</w:t>
      </w:r>
    </w:p>
    <w:p w14:paraId="29AFA24A">
      <w:pPr>
        <w:pStyle w:val="2"/>
        <w:spacing w:line="360" w:lineRule="auto"/>
        <w:ind w:firstLine="560" w:firstLineChars="200"/>
        <w:jc w:val="both"/>
        <w:rPr>
          <w:rFonts w:hint="eastAsia" w:asciiTheme="minorEastAsia" w:hAnsiTheme="minorEastAsia" w:eastAsiaTheme="minorEastAsia" w:cstheme="minorEastAsia"/>
          <w:b w:val="0"/>
          <w:color w:val="000000" w:themeColor="text1"/>
          <w:kern w:val="2"/>
          <w:sz w:val="24"/>
          <w:szCs w:val="24"/>
          <w14:textFill>
            <w14:solidFill>
              <w14:schemeClr w14:val="tx1"/>
            </w14:solidFill>
          </w14:textFill>
        </w:rPr>
      </w:pPr>
      <w:r>
        <w:rPr>
          <w:rFonts w:hint="eastAsia" w:asciiTheme="minorEastAsia" w:hAnsiTheme="minorEastAsia" w:eastAsiaTheme="minorEastAsia" w:cstheme="minorEastAsia"/>
          <w:b w:val="0"/>
          <w:bCs/>
          <w:color w:val="000000" w:themeColor="text1"/>
          <w:sz w:val="28"/>
          <w:szCs w:val="28"/>
          <w14:textFill>
            <w14:solidFill>
              <w14:schemeClr w14:val="tx1"/>
            </w14:solidFill>
          </w14:textFill>
        </w:rPr>
        <w:t>评审会仅对通过初审的投标人依据评分细则进行评分</w:t>
      </w:r>
      <w:r>
        <w:rPr>
          <w:rFonts w:hint="eastAsia" w:asciiTheme="minorEastAsia" w:hAnsiTheme="minorEastAsia" w:eastAsiaTheme="minorEastAsia" w:cstheme="minorEastAsia"/>
          <w:b w:val="0"/>
          <w:bCs/>
          <w:color w:val="000000" w:themeColor="text1"/>
          <w:kern w:val="2"/>
          <w:sz w:val="28"/>
          <w:szCs w:val="28"/>
          <w14:textFill>
            <w14:solidFill>
              <w14:schemeClr w14:val="tx1"/>
            </w14:solidFill>
          </w14:textFill>
        </w:rPr>
        <w:t>。</w:t>
      </w:r>
    </w:p>
    <w:p w14:paraId="3FA42B64">
      <w:pPr>
        <w:spacing w:before="320" w:after="120"/>
        <w:outlineLvl w:val="1"/>
        <w:rPr>
          <w:rFonts w:hint="eastAsia" w:asciiTheme="minorEastAsia" w:hAnsiTheme="minorEastAsia" w:cstheme="minorEastAsia"/>
          <w:b/>
          <w:color w:val="000000" w:themeColor="text1"/>
          <w:sz w:val="40"/>
          <w:szCs w:val="40"/>
          <w14:textFill>
            <w14:solidFill>
              <w14:schemeClr w14:val="tx1"/>
            </w14:solidFill>
          </w14:textFill>
        </w:rPr>
      </w:pPr>
    </w:p>
    <w:p w14:paraId="15FEEB6C">
      <w:pPr>
        <w:pStyle w:val="2"/>
      </w:pPr>
    </w:p>
    <w:p w14:paraId="1821814F">
      <w:pPr>
        <w:spacing w:before="320" w:after="120"/>
        <w:jc w:val="center"/>
        <w:outlineLvl w:val="1"/>
        <w:rPr>
          <w:rFonts w:hint="eastAsia" w:asciiTheme="minorEastAsia" w:hAnsiTheme="minorEastAsia" w:cstheme="minorEastAsia"/>
          <w:color w:val="000000" w:themeColor="text1"/>
          <w:sz w:val="36"/>
          <w:szCs w:val="36"/>
          <w14:textFill>
            <w14:solidFill>
              <w14:schemeClr w14:val="tx1"/>
            </w14:solidFill>
          </w14:textFill>
        </w:rPr>
      </w:pPr>
      <w:r>
        <w:rPr>
          <w:rFonts w:hint="eastAsia" w:asciiTheme="minorEastAsia" w:hAnsiTheme="minorEastAsia" w:cstheme="minorEastAsia"/>
          <w:b/>
          <w:color w:val="000000" w:themeColor="text1"/>
          <w:sz w:val="36"/>
          <w:szCs w:val="36"/>
          <w14:textFill>
            <w14:solidFill>
              <w14:schemeClr w14:val="tx1"/>
            </w14:solidFill>
          </w14:textFill>
        </w:rPr>
        <w:t>第六章 合同主要条款</w:t>
      </w:r>
      <w:bookmarkEnd w:id="16"/>
    </w:p>
    <w:p w14:paraId="586A6F57">
      <w:pPr>
        <w:spacing w:before="120" w:after="120"/>
        <w:ind w:firstLine="562"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b/>
          <w:color w:val="000000" w:themeColor="text1"/>
          <w:sz w:val="28"/>
          <w:szCs w:val="28"/>
          <w14:textFill>
            <w14:solidFill>
              <w14:schemeClr w14:val="tx1"/>
            </w14:solidFill>
          </w14:textFill>
        </w:rPr>
        <w:t>1.服务内容</w:t>
      </w:r>
      <w:r>
        <w:rPr>
          <w:rFonts w:hint="eastAsia" w:asciiTheme="minorEastAsia" w:hAnsiTheme="minorEastAsia" w:cstheme="minorEastAsia"/>
          <w:color w:val="000000" w:themeColor="text1"/>
          <w:sz w:val="28"/>
          <w:szCs w:val="28"/>
          <w14:textFill>
            <w14:solidFill>
              <w14:schemeClr w14:val="tx1"/>
            </w14:solidFill>
          </w14:textFill>
        </w:rPr>
        <w:t>：按本磋商文件及成交供应商响应文件约定的事故预防服务内容执行；</w:t>
      </w:r>
    </w:p>
    <w:p w14:paraId="063E4CED">
      <w:pPr>
        <w:spacing w:before="120" w:after="120"/>
        <w:ind w:firstLine="562"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b/>
          <w:color w:val="000000" w:themeColor="text1"/>
          <w:sz w:val="28"/>
          <w:szCs w:val="28"/>
          <w14:textFill>
            <w14:solidFill>
              <w14:schemeClr w14:val="tx1"/>
            </w14:solidFill>
          </w14:textFill>
        </w:rPr>
        <w:t>2.服务期限</w:t>
      </w:r>
      <w:r>
        <w:rPr>
          <w:rFonts w:hint="eastAsia" w:asciiTheme="minorEastAsia" w:hAnsiTheme="minorEastAsia" w:cstheme="minorEastAsia"/>
          <w:color w:val="000000" w:themeColor="text1"/>
          <w:sz w:val="28"/>
          <w:szCs w:val="28"/>
          <w14:textFill>
            <w14:solidFill>
              <w14:schemeClr w14:val="tx1"/>
            </w14:solidFill>
          </w14:textFill>
        </w:rPr>
        <w:t>：[XXXX年XX月XX日至XXXX年XX月XX日]；</w:t>
      </w:r>
    </w:p>
    <w:p w14:paraId="1F19DE4A">
      <w:pPr>
        <w:spacing w:before="120" w:after="120"/>
        <w:ind w:firstLine="562"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b/>
          <w:color w:val="000000" w:themeColor="text1"/>
          <w:sz w:val="28"/>
          <w:szCs w:val="28"/>
          <w14:textFill>
            <w14:solidFill>
              <w14:schemeClr w14:val="tx1"/>
            </w14:solidFill>
          </w14:textFill>
        </w:rPr>
        <w:t>3.服务费用及支付</w:t>
      </w:r>
      <w:r>
        <w:rPr>
          <w:rFonts w:hint="eastAsia" w:asciiTheme="minorEastAsia" w:hAnsiTheme="minorEastAsia" w:cstheme="minorEastAsia"/>
          <w:color w:val="000000" w:themeColor="text1"/>
          <w:sz w:val="28"/>
          <w:szCs w:val="28"/>
          <w14:textFill>
            <w14:solidFill>
              <w14:schemeClr w14:val="tx1"/>
            </w14:solidFill>
          </w14:textFill>
        </w:rPr>
        <w:t>：合同总价款为人民币XX元，按[按月/按季度/服务完成后]支付，供应商提交服务报告及发票后，采购人在XX个工作日内支付；</w:t>
      </w:r>
    </w:p>
    <w:p w14:paraId="3E718D95">
      <w:pPr>
        <w:spacing w:before="120" w:after="120"/>
        <w:ind w:firstLine="562"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b/>
          <w:color w:val="000000" w:themeColor="text1"/>
          <w:sz w:val="28"/>
          <w:szCs w:val="28"/>
          <w14:textFill>
            <w14:solidFill>
              <w14:schemeClr w14:val="tx1"/>
            </w14:solidFill>
          </w14:textFill>
        </w:rPr>
        <w:t>4.双方权利义务</w:t>
      </w:r>
    </w:p>
    <w:p w14:paraId="255158A9">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 （1）采购人：提供服务必要条件，配合供应商开展工作，按时支付服务费用；</w:t>
      </w:r>
    </w:p>
    <w:p w14:paraId="3CC30278">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 （2）成交供应商：按约定提供服务，保证服务质量，遵守采购人管理规定，承担保密义务；</w:t>
      </w:r>
    </w:p>
    <w:p w14:paraId="20427C7A">
      <w:pPr>
        <w:spacing w:before="120" w:after="120"/>
        <w:ind w:firstLine="562"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b/>
          <w:color w:val="000000" w:themeColor="text1"/>
          <w:sz w:val="28"/>
          <w:szCs w:val="28"/>
          <w14:textFill>
            <w14:solidFill>
              <w14:schemeClr w14:val="tx1"/>
            </w14:solidFill>
          </w14:textFill>
        </w:rPr>
        <w:t>5.验收</w:t>
      </w:r>
      <w:r>
        <w:rPr>
          <w:rFonts w:hint="eastAsia" w:asciiTheme="minorEastAsia" w:hAnsiTheme="minorEastAsia" w:cstheme="minorEastAsia"/>
          <w:color w:val="000000" w:themeColor="text1"/>
          <w:sz w:val="28"/>
          <w:szCs w:val="28"/>
          <w14:textFill>
            <w14:solidFill>
              <w14:schemeClr w14:val="tx1"/>
            </w14:solidFill>
          </w14:textFill>
        </w:rPr>
        <w:t>：服务期内，采购人按本文件第三章验收标准组织验收，验收不合格的，供应商须无偿整改直至合格；</w:t>
      </w:r>
    </w:p>
    <w:p w14:paraId="31AE27B7">
      <w:pPr>
        <w:spacing w:before="120" w:after="120"/>
        <w:ind w:firstLine="562"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b/>
          <w:color w:val="000000" w:themeColor="text1"/>
          <w:sz w:val="28"/>
          <w:szCs w:val="28"/>
          <w14:textFill>
            <w14:solidFill>
              <w14:schemeClr w14:val="tx1"/>
            </w14:solidFill>
          </w14:textFill>
        </w:rPr>
        <w:t>6.违约责任</w:t>
      </w:r>
    </w:p>
    <w:p w14:paraId="013677B1">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 （1）成交供应商未按约定提供服务、服务质量不达标，采购人有权扣除相应服务费用，情节严重的解除合同；</w:t>
      </w:r>
    </w:p>
    <w:p w14:paraId="219A7D78">
      <w:pPr>
        <w:spacing w:before="120" w:after="120"/>
        <w:ind w:firstLine="560"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 （2）采购人逾期支付费用的，按银行同期利率支付违约金；</w:t>
      </w:r>
    </w:p>
    <w:p w14:paraId="3ECC38F7">
      <w:pPr>
        <w:spacing w:before="120" w:after="120"/>
        <w:ind w:firstLine="562"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b/>
          <w:color w:val="000000" w:themeColor="text1"/>
          <w:sz w:val="28"/>
          <w:szCs w:val="28"/>
          <w14:textFill>
            <w14:solidFill>
              <w14:schemeClr w14:val="tx1"/>
            </w14:solidFill>
          </w14:textFill>
        </w:rPr>
        <w:t>7.合同变更与解除</w:t>
      </w:r>
      <w:r>
        <w:rPr>
          <w:rFonts w:hint="eastAsia" w:asciiTheme="minorEastAsia" w:hAnsiTheme="minorEastAsia" w:cstheme="minorEastAsia"/>
          <w:color w:val="000000" w:themeColor="text1"/>
          <w:sz w:val="28"/>
          <w:szCs w:val="28"/>
          <w14:textFill>
            <w14:solidFill>
              <w14:schemeClr w14:val="tx1"/>
            </w14:solidFill>
          </w14:textFill>
        </w:rPr>
        <w:t>：合同变更需双方协商一致，签订书面补充协议；出现法定或约定解除情形的，可解除合同；</w:t>
      </w:r>
    </w:p>
    <w:p w14:paraId="3BB22EF0">
      <w:pPr>
        <w:spacing w:before="120" w:after="120"/>
        <w:ind w:firstLine="562"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b/>
          <w:color w:val="000000" w:themeColor="text1"/>
          <w:sz w:val="28"/>
          <w:szCs w:val="28"/>
          <w14:textFill>
            <w14:solidFill>
              <w14:schemeClr w14:val="tx1"/>
            </w14:solidFill>
          </w14:textFill>
        </w:rPr>
        <w:t>8.争议解决</w:t>
      </w:r>
      <w:r>
        <w:rPr>
          <w:rFonts w:hint="eastAsia" w:asciiTheme="minorEastAsia" w:hAnsiTheme="minorEastAsia" w:cstheme="minorEastAsia"/>
          <w:color w:val="000000" w:themeColor="text1"/>
          <w:sz w:val="28"/>
          <w:szCs w:val="28"/>
          <w14:textFill>
            <w14:solidFill>
              <w14:schemeClr w14:val="tx1"/>
            </w14:solidFill>
          </w14:textFill>
        </w:rPr>
        <w:t>：双方协商解决，协商不成的，向采购人所在地人民法院提起诉讼；</w:t>
      </w:r>
    </w:p>
    <w:p w14:paraId="3DBF8F32">
      <w:pPr>
        <w:spacing w:before="120" w:after="120"/>
        <w:ind w:firstLine="562" w:firstLineChars="200"/>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b/>
          <w:color w:val="000000" w:themeColor="text1"/>
          <w:sz w:val="28"/>
          <w:szCs w:val="28"/>
          <w14:textFill>
            <w14:solidFill>
              <w14:schemeClr w14:val="tx1"/>
            </w14:solidFill>
          </w14:textFill>
        </w:rPr>
        <w:t>9.其他</w:t>
      </w:r>
      <w:r>
        <w:rPr>
          <w:rFonts w:hint="eastAsia" w:asciiTheme="minorEastAsia" w:hAnsiTheme="minorEastAsia" w:cstheme="minorEastAsia"/>
          <w:color w:val="000000" w:themeColor="text1"/>
          <w:sz w:val="28"/>
          <w:szCs w:val="28"/>
          <w14:textFill>
            <w14:solidFill>
              <w14:schemeClr w14:val="tx1"/>
            </w14:solidFill>
          </w14:textFill>
        </w:rPr>
        <w:t>：本合同自双方签字盖章之日起生效，一式肆份，采购人、成交供应商各执贰份，具有同等法律效力。</w:t>
      </w:r>
    </w:p>
    <w:p w14:paraId="78E53B1D">
      <w:pPr>
        <w:spacing w:before="320" w:after="120"/>
        <w:outlineLvl w:val="1"/>
        <w:rPr>
          <w:rFonts w:ascii="Arial" w:hAnsi="Arial" w:eastAsia="等线" w:cs="Arial"/>
          <w:b/>
          <w:color w:val="000000" w:themeColor="text1"/>
          <w:sz w:val="28"/>
          <w:szCs w:val="28"/>
          <w14:textFill>
            <w14:solidFill>
              <w14:schemeClr w14:val="tx1"/>
            </w14:solidFill>
          </w14:textFill>
        </w:rPr>
      </w:pPr>
      <w:bookmarkStart w:id="17" w:name="heading_28"/>
    </w:p>
    <w:p w14:paraId="32AB7CFD">
      <w:pPr>
        <w:spacing w:before="320" w:after="120"/>
        <w:outlineLvl w:val="1"/>
        <w:rPr>
          <w:rFonts w:ascii="Arial" w:hAnsi="Arial" w:eastAsia="等线" w:cs="Arial"/>
          <w:b/>
          <w:color w:val="000000" w:themeColor="text1"/>
          <w:sz w:val="28"/>
          <w:szCs w:val="28"/>
          <w14:textFill>
            <w14:solidFill>
              <w14:schemeClr w14:val="tx1"/>
            </w14:solidFill>
          </w14:textFill>
        </w:rPr>
      </w:pPr>
    </w:p>
    <w:p w14:paraId="77E6CF5F">
      <w:pPr>
        <w:spacing w:before="320" w:after="120"/>
        <w:jc w:val="center"/>
        <w:outlineLvl w:val="1"/>
        <w:rPr>
          <w:rFonts w:hint="eastAsia" w:ascii="宋体" w:hAnsi="宋体" w:eastAsia="宋体" w:cs="宋体"/>
          <w:b/>
          <w:color w:val="000000" w:themeColor="text1"/>
          <w:sz w:val="28"/>
          <w:szCs w:val="28"/>
          <w14:textFill>
            <w14:solidFill>
              <w14:schemeClr w14:val="tx1"/>
            </w14:solidFill>
          </w14:textFill>
        </w:rPr>
      </w:pPr>
      <w:r>
        <w:rPr>
          <w:rFonts w:hint="eastAsia" w:ascii="宋体" w:hAnsi="宋体" w:eastAsia="宋体" w:cs="宋体"/>
          <w:b/>
          <w:color w:val="000000" w:themeColor="text1"/>
          <w:sz w:val="28"/>
          <w:szCs w:val="28"/>
          <w14:textFill>
            <w14:solidFill>
              <w14:schemeClr w14:val="tx1"/>
            </w14:solidFill>
          </w14:textFill>
        </w:rPr>
        <w:br w:type="page"/>
      </w:r>
      <w:r>
        <w:rPr>
          <w:rFonts w:hint="eastAsia" w:ascii="宋体" w:hAnsi="宋体" w:eastAsia="宋体" w:cs="宋体"/>
          <w:b/>
          <w:color w:val="000000" w:themeColor="text1"/>
          <w:sz w:val="36"/>
          <w:szCs w:val="36"/>
          <w14:textFill>
            <w14:solidFill>
              <w14:schemeClr w14:val="tx1"/>
            </w14:solidFill>
          </w14:textFill>
        </w:rPr>
        <w:t>第七章 响应文件格式</w:t>
      </w:r>
      <w:bookmarkEnd w:id="17"/>
    </w:p>
    <w:p w14:paraId="6CAE6B11">
      <w:pPr>
        <w:ind w:firstLine="5720" w:firstLineChars="1300"/>
        <w:rPr>
          <w:rFonts w:ascii="Arial" w:hAnsi="Arial" w:eastAsia="黑体" w:cs="Arial"/>
          <w:color w:val="000000" w:themeColor="text1"/>
          <w:sz w:val="44"/>
          <w:szCs w:val="44"/>
          <w14:textFill>
            <w14:solidFill>
              <w14:schemeClr w14:val="tx1"/>
            </w14:solidFill>
          </w14:textFill>
        </w:rPr>
      </w:pPr>
    </w:p>
    <w:p w14:paraId="7A4E593E">
      <w:pPr>
        <w:ind w:firstLine="5720" w:firstLineChars="1300"/>
        <w:rPr>
          <w:rFonts w:ascii="Arial" w:hAnsi="Arial" w:eastAsia="黑体" w:cs="Arial"/>
          <w:color w:val="000000" w:themeColor="text1"/>
          <w:sz w:val="44"/>
          <w:szCs w:val="44"/>
          <w14:textFill>
            <w14:solidFill>
              <w14:schemeClr w14:val="tx1"/>
            </w14:solidFill>
          </w14:textFill>
        </w:rPr>
      </w:pPr>
    </w:p>
    <w:p w14:paraId="2AC29949">
      <w:pPr>
        <w:rPr>
          <w:rFonts w:ascii="Arial" w:hAnsi="Arial" w:eastAsia="仿宋_GB2312" w:cs="Arial"/>
          <w:color w:val="000000" w:themeColor="text1"/>
          <w:sz w:val="32"/>
          <w14:textFill>
            <w14:solidFill>
              <w14:schemeClr w14:val="tx1"/>
            </w14:solidFill>
          </w14:textFill>
        </w:rPr>
      </w:pPr>
    </w:p>
    <w:p w14:paraId="067F3F71">
      <w:pPr>
        <w:jc w:val="center"/>
        <w:rPr>
          <w:rFonts w:ascii="Arial" w:hAnsi="Arial" w:eastAsia="黑体" w:cs="Arial"/>
          <w:color w:val="000000" w:themeColor="text1"/>
          <w:sz w:val="32"/>
          <w14:textFill>
            <w14:solidFill>
              <w14:schemeClr w14:val="tx1"/>
            </w14:solidFill>
          </w14:textFill>
        </w:rPr>
      </w:pPr>
      <w:r>
        <w:rPr>
          <w:rFonts w:hint="eastAsia" w:ascii="Arial" w:hAnsi="Arial" w:eastAsia="黑体" w:cs="Arial"/>
          <w:b/>
          <w:color w:val="000000" w:themeColor="text1"/>
          <w:sz w:val="72"/>
          <w14:textFill>
            <w14:solidFill>
              <w14:schemeClr w14:val="tx1"/>
            </w14:solidFill>
          </w14:textFill>
        </w:rPr>
        <w:t>报价文件</w:t>
      </w:r>
    </w:p>
    <w:p w14:paraId="5AB1952F">
      <w:pPr>
        <w:rPr>
          <w:rFonts w:ascii="Arial" w:hAnsi="Arial" w:eastAsia="黑体" w:cs="Arial"/>
          <w:color w:val="000000" w:themeColor="text1"/>
          <w:sz w:val="32"/>
          <w14:textFill>
            <w14:solidFill>
              <w14:schemeClr w14:val="tx1"/>
            </w14:solidFill>
          </w14:textFill>
        </w:rPr>
      </w:pPr>
      <w:r>
        <w:rPr>
          <w:rFonts w:hint="eastAsia" w:ascii="Arial" w:hAnsi="Arial" w:eastAsia="黑体" w:cs="Arial"/>
          <w:color w:val="000000" w:themeColor="text1"/>
          <w:sz w:val="32"/>
          <w14:textFill>
            <w14:solidFill>
              <w14:schemeClr w14:val="tx1"/>
            </w14:solidFill>
          </w14:textFill>
        </w:rPr>
        <w:t xml:space="preserve">               </w:t>
      </w:r>
    </w:p>
    <w:p w14:paraId="69B522AF">
      <w:pPr>
        <w:rPr>
          <w:rFonts w:ascii="Arial" w:hAnsi="Arial" w:eastAsia="黑体" w:cs="Arial"/>
          <w:color w:val="000000" w:themeColor="text1"/>
          <w:sz w:val="32"/>
          <w14:textFill>
            <w14:solidFill>
              <w14:schemeClr w14:val="tx1"/>
            </w14:solidFill>
          </w14:textFill>
        </w:rPr>
      </w:pPr>
    </w:p>
    <w:p w14:paraId="65008204">
      <w:pPr>
        <w:rPr>
          <w:rFonts w:ascii="Arial" w:hAnsi="Arial" w:eastAsia="黑体" w:cs="Arial"/>
          <w:color w:val="000000" w:themeColor="text1"/>
          <w:sz w:val="32"/>
          <w14:textFill>
            <w14:solidFill>
              <w14:schemeClr w14:val="tx1"/>
            </w14:solidFill>
          </w14:textFill>
        </w:rPr>
      </w:pPr>
    </w:p>
    <w:p w14:paraId="5F88C99D">
      <w:pPr>
        <w:rPr>
          <w:rFonts w:ascii="Arial" w:hAnsi="Arial" w:eastAsia="黑体" w:cs="Arial"/>
          <w:color w:val="000000" w:themeColor="text1"/>
          <w:sz w:val="32"/>
          <w14:textFill>
            <w14:solidFill>
              <w14:schemeClr w14:val="tx1"/>
            </w14:solidFill>
          </w14:textFill>
        </w:rPr>
      </w:pPr>
    </w:p>
    <w:p w14:paraId="1DAB7709">
      <w:pPr>
        <w:rPr>
          <w:rFonts w:ascii="Arial" w:hAnsi="Arial" w:eastAsia="黑体" w:cs="Arial"/>
          <w:color w:val="000000" w:themeColor="text1"/>
          <w:sz w:val="32"/>
          <w14:textFill>
            <w14:solidFill>
              <w14:schemeClr w14:val="tx1"/>
            </w14:solidFill>
          </w14:textFill>
        </w:rPr>
      </w:pPr>
    </w:p>
    <w:p w14:paraId="5602566E">
      <w:pPr>
        <w:rPr>
          <w:rFonts w:ascii="Arial" w:hAnsi="Arial" w:eastAsia="黑体" w:cs="Arial"/>
          <w:color w:val="000000" w:themeColor="text1"/>
          <w:sz w:val="32"/>
          <w14:textFill>
            <w14:solidFill>
              <w14:schemeClr w14:val="tx1"/>
            </w14:solidFill>
          </w14:textFill>
        </w:rPr>
      </w:pPr>
    </w:p>
    <w:p w14:paraId="32BAA2B6">
      <w:pPr>
        <w:rPr>
          <w:rFonts w:ascii="Arial" w:hAnsi="Arial" w:eastAsia="黑体" w:cs="Arial"/>
          <w:color w:val="000000" w:themeColor="text1"/>
          <w:sz w:val="32"/>
          <w14:textFill>
            <w14:solidFill>
              <w14:schemeClr w14:val="tx1"/>
            </w14:solidFill>
          </w14:textFill>
        </w:rPr>
      </w:pPr>
    </w:p>
    <w:p w14:paraId="3D00F769">
      <w:pPr>
        <w:rPr>
          <w:rFonts w:ascii="Arial" w:hAnsi="Arial" w:eastAsia="黑体" w:cs="Arial"/>
          <w:color w:val="000000" w:themeColor="text1"/>
          <w:sz w:val="32"/>
          <w14:textFill>
            <w14:solidFill>
              <w14:schemeClr w14:val="tx1"/>
            </w14:solidFill>
          </w14:textFill>
        </w:rPr>
      </w:pPr>
    </w:p>
    <w:p w14:paraId="69204212">
      <w:pPr>
        <w:rPr>
          <w:rFonts w:ascii="Arial" w:hAnsi="Arial" w:eastAsia="黑体" w:cs="Arial"/>
          <w:color w:val="000000" w:themeColor="text1"/>
          <w:sz w:val="32"/>
          <w14:textFill>
            <w14:solidFill>
              <w14:schemeClr w14:val="tx1"/>
            </w14:solidFill>
          </w14:textFill>
        </w:rPr>
      </w:pPr>
    </w:p>
    <w:p w14:paraId="15939EF5">
      <w:pPr>
        <w:rPr>
          <w:rFonts w:ascii="Arial" w:hAnsi="Arial" w:eastAsia="黑体" w:cs="Arial"/>
          <w:color w:val="000000" w:themeColor="text1"/>
          <w:sz w:val="32"/>
          <w14:textFill>
            <w14:solidFill>
              <w14:schemeClr w14:val="tx1"/>
            </w14:solidFill>
          </w14:textFill>
        </w:rPr>
      </w:pPr>
    </w:p>
    <w:p w14:paraId="5B45DE7D">
      <w:pPr>
        <w:rPr>
          <w:rFonts w:ascii="Arial" w:hAnsi="Arial" w:eastAsia="黑体" w:cs="Arial"/>
          <w:color w:val="000000" w:themeColor="text1"/>
          <w:sz w:val="32"/>
          <w14:textFill>
            <w14:solidFill>
              <w14:schemeClr w14:val="tx1"/>
            </w14:solidFill>
          </w14:textFill>
        </w:rPr>
      </w:pPr>
    </w:p>
    <w:p w14:paraId="2275582C">
      <w:pPr>
        <w:ind w:firstLine="960" w:firstLineChars="300"/>
        <w:rPr>
          <w:rFonts w:ascii="Arial" w:hAnsi="Arial" w:eastAsia="黑体" w:cs="Arial"/>
          <w:color w:val="000000" w:themeColor="text1"/>
          <w:sz w:val="32"/>
          <w:u w:val="single"/>
          <w14:textFill>
            <w14:solidFill>
              <w14:schemeClr w14:val="tx1"/>
            </w14:solidFill>
          </w14:textFill>
        </w:rPr>
      </w:pPr>
      <w:r>
        <w:rPr>
          <w:rFonts w:hint="eastAsia" w:ascii="Arial" w:hAnsi="Arial" w:eastAsia="黑体" w:cs="Arial"/>
          <w:color w:val="000000" w:themeColor="text1"/>
          <w:sz w:val="32"/>
          <w14:textFill>
            <w14:solidFill>
              <w14:schemeClr w14:val="tx1"/>
            </w14:solidFill>
          </w14:textFill>
        </w:rPr>
        <w:t>项目名称：</w:t>
      </w:r>
      <w:r>
        <w:rPr>
          <w:rFonts w:hint="eastAsia" w:ascii="Arial" w:hAnsi="Arial" w:eastAsia="黑体" w:cs="Arial"/>
          <w:color w:val="000000" w:themeColor="text1"/>
          <w:sz w:val="32"/>
          <w:u w:val="single"/>
          <w14:textFill>
            <w14:solidFill>
              <w14:schemeClr w14:val="tx1"/>
            </w14:solidFill>
          </w14:textFill>
        </w:rPr>
        <w:t xml:space="preserve">                                </w:t>
      </w:r>
    </w:p>
    <w:p w14:paraId="0AC46601">
      <w:pPr>
        <w:ind w:firstLine="960" w:firstLineChars="300"/>
        <w:rPr>
          <w:rFonts w:ascii="Arial" w:hAnsi="Arial" w:eastAsia="黑体" w:cs="Arial"/>
          <w:b/>
          <w:color w:val="000000" w:themeColor="text1"/>
          <w:sz w:val="32"/>
          <w:u w:val="single"/>
          <w14:textFill>
            <w14:solidFill>
              <w14:schemeClr w14:val="tx1"/>
            </w14:solidFill>
          </w14:textFill>
        </w:rPr>
      </w:pPr>
      <w:r>
        <w:rPr>
          <w:rFonts w:hint="eastAsia" w:ascii="Arial" w:hAnsi="Arial" w:eastAsia="黑体" w:cs="Arial"/>
          <w:color w:val="000000" w:themeColor="text1"/>
          <w:sz w:val="32"/>
          <w14:textFill>
            <w14:solidFill>
              <w14:schemeClr w14:val="tx1"/>
            </w14:solidFill>
          </w14:textFill>
        </w:rPr>
        <w:t>投 标 人：</w:t>
      </w:r>
      <w:r>
        <w:rPr>
          <w:rFonts w:ascii="Arial" w:hAnsi="Arial" w:eastAsia="黑体" w:cs="Arial"/>
          <w:b/>
          <w:color w:val="000000" w:themeColor="text1"/>
          <w:sz w:val="32"/>
          <w:u w:val="single"/>
          <w14:textFill>
            <w14:solidFill>
              <w14:schemeClr w14:val="tx1"/>
            </w14:solidFill>
          </w14:textFill>
        </w:rPr>
        <w:t xml:space="preserve">                                </w:t>
      </w:r>
    </w:p>
    <w:p w14:paraId="2B89FBEC">
      <w:pPr>
        <w:ind w:firstLine="2720" w:firstLineChars="850"/>
        <w:rPr>
          <w:rFonts w:ascii="Arial" w:hAnsi="Arial" w:eastAsia="黑体" w:cs="Arial"/>
          <w:color w:val="000000" w:themeColor="text1"/>
          <w:sz w:val="32"/>
          <w14:textFill>
            <w14:solidFill>
              <w14:schemeClr w14:val="tx1"/>
            </w14:solidFill>
          </w14:textFill>
        </w:rPr>
      </w:pPr>
      <w:r>
        <w:rPr>
          <w:rFonts w:hint="eastAsia" w:ascii="Arial" w:hAnsi="Arial" w:eastAsia="黑体" w:cs="Arial"/>
          <w:color w:val="000000" w:themeColor="text1"/>
          <w:sz w:val="32"/>
          <w:u w:val="single"/>
          <w14:textFill>
            <w14:solidFill>
              <w14:schemeClr w14:val="tx1"/>
            </w14:solidFill>
          </w14:textFill>
        </w:rPr>
        <w:t xml:space="preserve">      </w:t>
      </w:r>
      <w:r>
        <w:rPr>
          <w:rFonts w:hint="eastAsia" w:ascii="Arial" w:hAnsi="Arial" w:eastAsia="黑体" w:cs="Arial"/>
          <w:color w:val="000000" w:themeColor="text1"/>
          <w:sz w:val="32"/>
          <w14:textFill>
            <w14:solidFill>
              <w14:schemeClr w14:val="tx1"/>
            </w14:solidFill>
          </w14:textFill>
        </w:rPr>
        <w:t>年</w:t>
      </w:r>
      <w:r>
        <w:rPr>
          <w:rFonts w:hint="eastAsia" w:ascii="Arial" w:hAnsi="Arial" w:eastAsia="黑体" w:cs="Arial"/>
          <w:color w:val="000000" w:themeColor="text1"/>
          <w:sz w:val="32"/>
          <w:u w:val="single"/>
          <w14:textFill>
            <w14:solidFill>
              <w14:schemeClr w14:val="tx1"/>
            </w14:solidFill>
          </w14:textFill>
        </w:rPr>
        <w:t xml:space="preserve">     </w:t>
      </w:r>
      <w:r>
        <w:rPr>
          <w:rFonts w:hint="eastAsia" w:ascii="Arial" w:hAnsi="Arial" w:eastAsia="黑体" w:cs="Arial"/>
          <w:color w:val="000000" w:themeColor="text1"/>
          <w:sz w:val="32"/>
          <w14:textFill>
            <w14:solidFill>
              <w14:schemeClr w14:val="tx1"/>
            </w14:solidFill>
          </w14:textFill>
        </w:rPr>
        <w:t>月</w:t>
      </w:r>
      <w:r>
        <w:rPr>
          <w:rFonts w:hint="eastAsia" w:ascii="Arial" w:hAnsi="Arial" w:eastAsia="黑体" w:cs="Arial"/>
          <w:color w:val="000000" w:themeColor="text1"/>
          <w:sz w:val="32"/>
          <w:u w:val="single"/>
          <w14:textFill>
            <w14:solidFill>
              <w14:schemeClr w14:val="tx1"/>
            </w14:solidFill>
          </w14:textFill>
        </w:rPr>
        <w:t xml:space="preserve">     </w:t>
      </w:r>
      <w:r>
        <w:rPr>
          <w:rFonts w:hint="eastAsia" w:ascii="Arial" w:hAnsi="Arial" w:eastAsia="黑体" w:cs="Arial"/>
          <w:color w:val="000000" w:themeColor="text1"/>
          <w:sz w:val="32"/>
          <w14:textFill>
            <w14:solidFill>
              <w14:schemeClr w14:val="tx1"/>
            </w14:solidFill>
          </w14:textFill>
        </w:rPr>
        <w:t>日</w:t>
      </w:r>
    </w:p>
    <w:p w14:paraId="6792521E">
      <w:pPr>
        <w:pStyle w:val="9"/>
        <w:rPr>
          <w:color w:val="000000" w:themeColor="text1"/>
          <w14:textFill>
            <w14:solidFill>
              <w14:schemeClr w14:val="tx1"/>
            </w14:solidFill>
          </w14:textFill>
        </w:rPr>
      </w:pPr>
      <w:r>
        <w:rPr>
          <w:color w:val="000000" w:themeColor="text1"/>
          <w14:textFill>
            <w14:solidFill>
              <w14:schemeClr w14:val="tx1"/>
            </w14:solidFill>
          </w14:textFill>
        </w:rPr>
        <w:br w:type="page"/>
      </w:r>
    </w:p>
    <w:p w14:paraId="73652A61">
      <w:pPr>
        <w:pStyle w:val="9"/>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投标文件资料清单</w:t>
      </w:r>
    </w:p>
    <w:p w14:paraId="0B17B125"/>
    <w:tbl>
      <w:tblPr>
        <w:tblStyle w:val="11"/>
        <w:tblW w:w="92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5460"/>
        <w:gridCol w:w="2625"/>
      </w:tblGrid>
      <w:tr w14:paraId="69B49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26F38D1E">
            <w:pPr>
              <w:jc w:val="center"/>
              <w:rPr>
                <w:rFonts w:hint="eastAsia"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序号</w:t>
            </w:r>
          </w:p>
        </w:tc>
        <w:tc>
          <w:tcPr>
            <w:tcW w:w="5460" w:type="dxa"/>
            <w:vAlign w:val="center"/>
          </w:tcPr>
          <w:p w14:paraId="687985F9">
            <w:pPr>
              <w:rPr>
                <w:rFonts w:hint="eastAsia"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资料名称</w:t>
            </w:r>
          </w:p>
        </w:tc>
        <w:tc>
          <w:tcPr>
            <w:tcW w:w="2625" w:type="dxa"/>
            <w:vAlign w:val="center"/>
          </w:tcPr>
          <w:p w14:paraId="191585A4">
            <w:pPr>
              <w:jc w:val="center"/>
              <w:rPr>
                <w:rFonts w:hint="eastAsia"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页码范围</w:t>
            </w:r>
          </w:p>
        </w:tc>
      </w:tr>
      <w:tr w14:paraId="7D92F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4F628C75">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一</w:t>
            </w:r>
          </w:p>
        </w:tc>
        <w:tc>
          <w:tcPr>
            <w:tcW w:w="5460" w:type="dxa"/>
            <w:vAlign w:val="center"/>
          </w:tcPr>
          <w:p w14:paraId="12B34012">
            <w:pPr>
              <w:rPr>
                <w:rFonts w:eastAsia="宋体"/>
                <w:color w:val="000000" w:themeColor="text1"/>
                <w:u w:val="single"/>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基本服务响应</w:t>
            </w:r>
            <w:r>
              <w:rPr>
                <w:rFonts w:hint="eastAsia" w:ascii="宋体" w:hAnsi="宋体" w:cs="宋体"/>
                <w:color w:val="000000" w:themeColor="text1"/>
                <w:sz w:val="24"/>
                <w:szCs w:val="24"/>
                <w14:textFill>
                  <w14:solidFill>
                    <w14:schemeClr w14:val="tx1"/>
                  </w14:solidFill>
                </w14:textFill>
              </w:rPr>
              <w:t>情况</w:t>
            </w:r>
          </w:p>
        </w:tc>
        <w:tc>
          <w:tcPr>
            <w:tcW w:w="2625" w:type="dxa"/>
            <w:vAlign w:val="center"/>
          </w:tcPr>
          <w:p w14:paraId="01ADA4AC">
            <w:pPr>
              <w:rPr>
                <w:rFonts w:hint="eastAsia" w:ascii="宋体" w:hAnsi="宋体"/>
                <w:b/>
                <w:color w:val="000000" w:themeColor="text1"/>
                <w:sz w:val="24"/>
                <w14:textFill>
                  <w14:solidFill>
                    <w14:schemeClr w14:val="tx1"/>
                  </w14:solidFill>
                </w14:textFill>
              </w:rPr>
            </w:pPr>
          </w:p>
        </w:tc>
      </w:tr>
      <w:tr w14:paraId="7301D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0AC567FD">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二</w:t>
            </w:r>
          </w:p>
        </w:tc>
        <w:tc>
          <w:tcPr>
            <w:tcW w:w="5460" w:type="dxa"/>
            <w:vAlign w:val="center"/>
          </w:tcPr>
          <w:p w14:paraId="52330D08">
            <w:pPr>
              <w:rPr>
                <w:rFonts w:eastAsia="宋体"/>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方案响应函</w:t>
            </w:r>
          </w:p>
        </w:tc>
        <w:tc>
          <w:tcPr>
            <w:tcW w:w="2625" w:type="dxa"/>
            <w:vAlign w:val="center"/>
          </w:tcPr>
          <w:p w14:paraId="0B87C79F">
            <w:pPr>
              <w:rPr>
                <w:rFonts w:hint="eastAsia" w:ascii="宋体" w:hAnsi="宋体"/>
                <w:b/>
                <w:color w:val="000000" w:themeColor="text1"/>
                <w:sz w:val="24"/>
                <w14:textFill>
                  <w14:solidFill>
                    <w14:schemeClr w14:val="tx1"/>
                  </w14:solidFill>
                </w14:textFill>
              </w:rPr>
            </w:pPr>
          </w:p>
        </w:tc>
      </w:tr>
      <w:tr w14:paraId="14A1A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29CE2A1B">
            <w:pPr>
              <w:jc w:val="center"/>
              <w:rPr>
                <w:rFonts w:eastAsia="宋体"/>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三</w:t>
            </w:r>
          </w:p>
        </w:tc>
        <w:tc>
          <w:tcPr>
            <w:tcW w:w="5460" w:type="dxa"/>
            <w:vAlign w:val="center"/>
          </w:tcPr>
          <w:p w14:paraId="6532258C">
            <w:pPr>
              <w:rPr>
                <w:rFonts w:ascii="Times New Roman" w:hAnsi="Times New Roman" w:eastAsia="宋体" w:cs="Times New Roman"/>
                <w:bCs/>
                <w:color w:val="000000" w:themeColor="text1"/>
                <w:kern w:val="2"/>
                <w:sz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评分项明细</w:t>
            </w:r>
          </w:p>
        </w:tc>
        <w:tc>
          <w:tcPr>
            <w:tcW w:w="2625" w:type="dxa"/>
            <w:vAlign w:val="center"/>
          </w:tcPr>
          <w:p w14:paraId="4FD76099">
            <w:pPr>
              <w:rPr>
                <w:rFonts w:hint="eastAsia" w:ascii="宋体" w:hAnsi="宋体"/>
                <w:b/>
                <w:color w:val="000000" w:themeColor="text1"/>
                <w:sz w:val="24"/>
                <w14:textFill>
                  <w14:solidFill>
                    <w14:schemeClr w14:val="tx1"/>
                  </w14:solidFill>
                </w14:textFill>
              </w:rPr>
            </w:pPr>
          </w:p>
        </w:tc>
      </w:tr>
      <w:tr w14:paraId="38E8C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189AEC2B">
            <w:pPr>
              <w:jc w:val="center"/>
              <w:rPr>
                <w:rFonts w:ascii="Times New Roman" w:hAnsi="Times New Roman" w:eastAsia="宋体" w:cs="Times New Roman"/>
                <w:bCs/>
                <w:color w:val="000000" w:themeColor="text1"/>
                <w:kern w:val="2"/>
                <w:sz w:val="24"/>
                <w14:textFill>
                  <w14:solidFill>
                    <w14:schemeClr w14:val="tx1"/>
                  </w14:solidFill>
                </w14:textFill>
              </w:rPr>
            </w:pPr>
            <w:r>
              <w:rPr>
                <w:rFonts w:hint="eastAsia"/>
                <w:bCs/>
                <w:color w:val="000000" w:themeColor="text1"/>
                <w:sz w:val="24"/>
                <w14:textFill>
                  <w14:solidFill>
                    <w14:schemeClr w14:val="tx1"/>
                  </w14:solidFill>
                </w14:textFill>
              </w:rPr>
              <w:t>四</w:t>
            </w:r>
          </w:p>
        </w:tc>
        <w:tc>
          <w:tcPr>
            <w:tcW w:w="5460" w:type="dxa"/>
            <w:vAlign w:val="center"/>
          </w:tcPr>
          <w:p w14:paraId="0A62E8E5">
            <w:pPr>
              <w:rPr>
                <w:rFonts w:ascii="Times New Roman" w:hAnsi="Times New Roman" w:eastAsia="宋体" w:cs="Times New Roman"/>
                <w:bCs/>
                <w:color w:val="000000" w:themeColor="text1"/>
                <w:kern w:val="2"/>
                <w:sz w:val="24"/>
                <w14:textFill>
                  <w14:solidFill>
                    <w14:schemeClr w14:val="tx1"/>
                  </w14:solidFill>
                </w14:textFill>
              </w:rPr>
            </w:pPr>
            <w:r>
              <w:rPr>
                <w:rFonts w:hint="eastAsia"/>
                <w:bCs/>
                <w:color w:val="000000" w:themeColor="text1"/>
                <w:sz w:val="24"/>
                <w14:textFill>
                  <w14:solidFill>
                    <w14:schemeClr w14:val="tx1"/>
                  </w14:solidFill>
                </w14:textFill>
              </w:rPr>
              <w:t>报价承诺函</w:t>
            </w:r>
          </w:p>
        </w:tc>
        <w:tc>
          <w:tcPr>
            <w:tcW w:w="2625" w:type="dxa"/>
            <w:vAlign w:val="center"/>
          </w:tcPr>
          <w:p w14:paraId="0F8D404F">
            <w:pPr>
              <w:rPr>
                <w:rFonts w:hint="eastAsia" w:ascii="宋体" w:hAnsi="宋体"/>
                <w:b/>
                <w:color w:val="000000" w:themeColor="text1"/>
                <w:sz w:val="24"/>
                <w14:textFill>
                  <w14:solidFill>
                    <w14:schemeClr w14:val="tx1"/>
                  </w14:solidFill>
                </w14:textFill>
              </w:rPr>
            </w:pPr>
          </w:p>
        </w:tc>
      </w:tr>
      <w:tr w14:paraId="64CA6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5492BE2D">
            <w:pPr>
              <w:jc w:val="center"/>
              <w:rPr>
                <w:rFonts w:ascii="Times New Roman" w:hAnsi="Times New Roman" w:eastAsia="宋体" w:cs="Times New Roman"/>
                <w:color w:val="000000" w:themeColor="text1"/>
                <w:kern w:val="2"/>
                <w:sz w:val="24"/>
                <w14:textFill>
                  <w14:solidFill>
                    <w14:schemeClr w14:val="tx1"/>
                  </w14:solidFill>
                </w14:textFill>
              </w:rPr>
            </w:pPr>
            <w:r>
              <w:rPr>
                <w:rFonts w:hint="eastAsia"/>
                <w:color w:val="000000" w:themeColor="text1"/>
                <w:sz w:val="24"/>
                <w14:textFill>
                  <w14:solidFill>
                    <w14:schemeClr w14:val="tx1"/>
                  </w14:solidFill>
                </w14:textFill>
              </w:rPr>
              <w:t>五</w:t>
            </w:r>
          </w:p>
        </w:tc>
        <w:tc>
          <w:tcPr>
            <w:tcW w:w="5460" w:type="dxa"/>
            <w:vAlign w:val="center"/>
          </w:tcPr>
          <w:p w14:paraId="1C96A17C">
            <w:pPr>
              <w:rPr>
                <w:rFonts w:ascii="Times New Roman" w:hAnsi="Times New Roman" w:eastAsia="宋体" w:cs="Times New Roman"/>
                <w:bCs/>
                <w:color w:val="000000" w:themeColor="text1"/>
                <w:kern w:val="2"/>
                <w:sz w:val="24"/>
                <w14:textFill>
                  <w14:solidFill>
                    <w14:schemeClr w14:val="tx1"/>
                  </w14:solidFill>
                </w14:textFill>
              </w:rPr>
            </w:pPr>
            <w:r>
              <w:rPr>
                <w:rFonts w:hint="eastAsia"/>
                <w:bCs/>
                <w:color w:val="000000" w:themeColor="text1"/>
                <w:sz w:val="24"/>
                <w14:textFill>
                  <w14:solidFill>
                    <w14:schemeClr w14:val="tx1"/>
                  </w14:solidFill>
                </w14:textFill>
              </w:rPr>
              <w:t>营业执照</w:t>
            </w:r>
          </w:p>
        </w:tc>
        <w:tc>
          <w:tcPr>
            <w:tcW w:w="2625" w:type="dxa"/>
            <w:vAlign w:val="center"/>
          </w:tcPr>
          <w:p w14:paraId="59BDE36B">
            <w:pPr>
              <w:rPr>
                <w:rFonts w:hint="eastAsia" w:ascii="宋体" w:hAnsi="宋体"/>
                <w:b/>
                <w:color w:val="000000" w:themeColor="text1"/>
                <w:sz w:val="24"/>
                <w14:textFill>
                  <w14:solidFill>
                    <w14:schemeClr w14:val="tx1"/>
                  </w14:solidFill>
                </w14:textFill>
              </w:rPr>
            </w:pPr>
          </w:p>
        </w:tc>
      </w:tr>
      <w:tr w14:paraId="6D908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158" w:type="dxa"/>
            <w:vAlign w:val="center"/>
          </w:tcPr>
          <w:p w14:paraId="43619B76">
            <w:pPr>
              <w:jc w:val="center"/>
              <w:rPr>
                <w:rFonts w:eastAsia="宋体"/>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六</w:t>
            </w:r>
          </w:p>
        </w:tc>
        <w:tc>
          <w:tcPr>
            <w:tcW w:w="5460" w:type="dxa"/>
            <w:vAlign w:val="center"/>
          </w:tcPr>
          <w:p w14:paraId="1295C820">
            <w:pPr>
              <w:pStyle w:val="15"/>
              <w:rPr>
                <w:rFonts w:ascii="Times New Roman" w:hAnsi="Times New Roman" w:eastAsia="宋体" w:cs="Times New Roman"/>
                <w:bCs/>
                <w:color w:val="000000" w:themeColor="text1"/>
                <w:kern w:val="2"/>
                <w14:textFill>
                  <w14:solidFill>
                    <w14:schemeClr w14:val="tx1"/>
                  </w14:solidFill>
                </w14:textFill>
              </w:rPr>
            </w:pPr>
            <w:r>
              <w:rPr>
                <w:rFonts w:hint="eastAsia" w:ascii="Times New Roman" w:hAnsi="Times New Roman"/>
                <w:bCs/>
                <w:color w:val="000000" w:themeColor="text1"/>
                <w14:textFill>
                  <w14:solidFill>
                    <w14:schemeClr w14:val="tx1"/>
                  </w14:solidFill>
                </w14:textFill>
              </w:rPr>
              <w:t>其他相关证明资料</w:t>
            </w:r>
          </w:p>
        </w:tc>
        <w:tc>
          <w:tcPr>
            <w:tcW w:w="2625" w:type="dxa"/>
            <w:vAlign w:val="center"/>
          </w:tcPr>
          <w:p w14:paraId="172B2754">
            <w:pPr>
              <w:rPr>
                <w:rFonts w:hint="eastAsia" w:ascii="宋体" w:hAnsi="宋体"/>
                <w:b/>
                <w:color w:val="000000" w:themeColor="text1"/>
                <w:sz w:val="24"/>
                <w14:textFill>
                  <w14:solidFill>
                    <w14:schemeClr w14:val="tx1"/>
                  </w14:solidFill>
                </w14:textFill>
              </w:rPr>
            </w:pPr>
          </w:p>
        </w:tc>
      </w:tr>
      <w:tr w14:paraId="07E50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158" w:type="dxa"/>
            <w:vAlign w:val="center"/>
          </w:tcPr>
          <w:p w14:paraId="5BCDAFF5">
            <w:pPr>
              <w:rPr>
                <w:rFonts w:eastAsia="宋体"/>
                <w:bCs/>
                <w:color w:val="000000" w:themeColor="text1"/>
                <w:sz w:val="24"/>
                <w14:textFill>
                  <w14:solidFill>
                    <w14:schemeClr w14:val="tx1"/>
                  </w14:solidFill>
                </w14:textFill>
              </w:rPr>
            </w:pPr>
          </w:p>
        </w:tc>
        <w:tc>
          <w:tcPr>
            <w:tcW w:w="5460" w:type="dxa"/>
            <w:vAlign w:val="center"/>
          </w:tcPr>
          <w:p w14:paraId="7CE43FB6">
            <w:pPr>
              <w:rPr>
                <w:rFonts w:eastAsia="宋体"/>
                <w:bCs/>
                <w:color w:val="000000" w:themeColor="text1"/>
                <w:sz w:val="24"/>
                <w14:textFill>
                  <w14:solidFill>
                    <w14:schemeClr w14:val="tx1"/>
                  </w14:solidFill>
                </w14:textFill>
              </w:rPr>
            </w:pPr>
          </w:p>
        </w:tc>
        <w:tc>
          <w:tcPr>
            <w:tcW w:w="2625" w:type="dxa"/>
            <w:vAlign w:val="center"/>
          </w:tcPr>
          <w:p w14:paraId="5B6D3708">
            <w:pPr>
              <w:rPr>
                <w:rFonts w:hint="eastAsia" w:ascii="宋体" w:hAnsi="宋体"/>
                <w:b/>
                <w:color w:val="000000" w:themeColor="text1"/>
                <w:sz w:val="24"/>
                <w14:textFill>
                  <w14:solidFill>
                    <w14:schemeClr w14:val="tx1"/>
                  </w14:solidFill>
                </w14:textFill>
              </w:rPr>
            </w:pPr>
          </w:p>
        </w:tc>
      </w:tr>
      <w:tr w14:paraId="61DDD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158" w:type="dxa"/>
            <w:vAlign w:val="center"/>
          </w:tcPr>
          <w:p w14:paraId="7894F9FC">
            <w:pPr>
              <w:rPr>
                <w:bCs/>
                <w:color w:val="000000" w:themeColor="text1"/>
                <w:sz w:val="24"/>
                <w14:textFill>
                  <w14:solidFill>
                    <w14:schemeClr w14:val="tx1"/>
                  </w14:solidFill>
                </w14:textFill>
              </w:rPr>
            </w:pPr>
          </w:p>
        </w:tc>
        <w:tc>
          <w:tcPr>
            <w:tcW w:w="5460" w:type="dxa"/>
            <w:vAlign w:val="center"/>
          </w:tcPr>
          <w:p w14:paraId="06474318">
            <w:pPr>
              <w:rPr>
                <w:bCs/>
                <w:color w:val="000000" w:themeColor="text1"/>
                <w:sz w:val="24"/>
                <w14:textFill>
                  <w14:solidFill>
                    <w14:schemeClr w14:val="tx1"/>
                  </w14:solidFill>
                </w14:textFill>
              </w:rPr>
            </w:pPr>
          </w:p>
        </w:tc>
        <w:tc>
          <w:tcPr>
            <w:tcW w:w="2625" w:type="dxa"/>
            <w:vAlign w:val="center"/>
          </w:tcPr>
          <w:p w14:paraId="76E59DA6">
            <w:pPr>
              <w:rPr>
                <w:rFonts w:hint="eastAsia" w:ascii="宋体" w:hAnsi="宋体"/>
                <w:b/>
                <w:color w:val="000000" w:themeColor="text1"/>
                <w:sz w:val="24"/>
                <w14:textFill>
                  <w14:solidFill>
                    <w14:schemeClr w14:val="tx1"/>
                  </w14:solidFill>
                </w14:textFill>
              </w:rPr>
            </w:pPr>
          </w:p>
        </w:tc>
      </w:tr>
    </w:tbl>
    <w:p w14:paraId="1590FD3A">
      <w:pPr>
        <w:rPr>
          <w:rFonts w:hint="eastAsia" w:ascii="宋体" w:hAnsi="宋体"/>
          <w:color w:val="000000" w:themeColor="text1"/>
          <w:sz w:val="28"/>
          <w14:textFill>
            <w14:solidFill>
              <w14:schemeClr w14:val="tx1"/>
            </w14:solidFill>
          </w14:textFill>
        </w:rPr>
      </w:pPr>
    </w:p>
    <w:p w14:paraId="764F4C92">
      <w:pPr>
        <w:rPr>
          <w:rFonts w:hint="eastAsia" w:ascii="宋体" w:hAnsi="宋体" w:eastAsia="宋体" w:cs="Times New Roman"/>
          <w:b/>
          <w:color w:val="000000" w:themeColor="text1"/>
          <w:kern w:val="2"/>
          <w:sz w:val="28"/>
          <w:szCs w:val="24"/>
          <w14:textFill>
            <w14:solidFill>
              <w14:schemeClr w14:val="tx1"/>
            </w14:solidFill>
          </w14:textFill>
        </w:rPr>
      </w:pPr>
      <w:r>
        <w:rPr>
          <w:color w:val="000000" w:themeColor="text1"/>
          <w14:textFill>
            <w14:solidFill>
              <w14:schemeClr w14:val="tx1"/>
            </w14:solidFill>
          </w14:textFill>
        </w:rPr>
        <w:br w:type="page"/>
      </w:r>
      <w:r>
        <w:rPr>
          <w:rFonts w:hint="eastAsia" w:ascii="宋体" w:hAnsi="宋体" w:eastAsia="宋体" w:cs="Times New Roman"/>
          <w:b/>
          <w:color w:val="000000" w:themeColor="text1"/>
          <w:kern w:val="2"/>
          <w:sz w:val="28"/>
          <w:szCs w:val="24"/>
          <w14:textFill>
            <w14:solidFill>
              <w14:schemeClr w14:val="tx1"/>
            </w14:solidFill>
          </w14:textFill>
        </w:rPr>
        <w:t>一、基本服务响应情况一览表</w:t>
      </w:r>
    </w:p>
    <w:p w14:paraId="5B396736">
      <w:pPr>
        <w:rPr>
          <w:rFonts w:hint="eastAsia" w:ascii="宋体" w:hAnsi="宋体" w:eastAsia="宋体" w:cs="Times New Roman"/>
          <w:b/>
          <w:color w:val="000000" w:themeColor="text1"/>
          <w:kern w:val="2"/>
          <w:sz w:val="24"/>
          <w14:textFill>
            <w14:solidFill>
              <w14:schemeClr w14:val="tx1"/>
            </w14:solidFill>
          </w14:textFill>
        </w:rPr>
      </w:pPr>
    </w:p>
    <w:p w14:paraId="44396B4B">
      <w:pPr>
        <w:rPr>
          <w:rFonts w:hint="eastAsia" w:ascii="宋体" w:hAnsi="宋体" w:eastAsia="宋体" w:cs="Times New Roman"/>
          <w:b/>
          <w:color w:val="000000" w:themeColor="text1"/>
          <w:kern w:val="2"/>
          <w:sz w:val="24"/>
          <w14:textFill>
            <w14:solidFill>
              <w14:schemeClr w14:val="tx1"/>
            </w14:solidFill>
          </w14:textFill>
        </w:rPr>
      </w:pPr>
    </w:p>
    <w:tbl>
      <w:tblPr>
        <w:tblStyle w:val="11"/>
        <w:tblW w:w="89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54" w:type="dxa"/>
          <w:bottom w:w="0" w:type="dxa"/>
          <w:right w:w="54" w:type="dxa"/>
        </w:tblCellMar>
      </w:tblPr>
      <w:tblGrid>
        <w:gridCol w:w="874"/>
        <w:gridCol w:w="1880"/>
        <w:gridCol w:w="4275"/>
        <w:gridCol w:w="1880"/>
      </w:tblGrid>
      <w:tr w14:paraId="31FA38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733" w:hRule="atLeast"/>
          <w:jc w:val="center"/>
        </w:trPr>
        <w:tc>
          <w:tcPr>
            <w:tcW w:w="874" w:type="dxa"/>
            <w:vAlign w:val="center"/>
          </w:tcPr>
          <w:p w14:paraId="69D5EC91">
            <w:pPr>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序号</w:t>
            </w:r>
          </w:p>
        </w:tc>
        <w:tc>
          <w:tcPr>
            <w:tcW w:w="1880" w:type="dxa"/>
            <w:vAlign w:val="center"/>
          </w:tcPr>
          <w:p w14:paraId="4EE16C16">
            <w:pPr>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基本服务要求</w:t>
            </w:r>
          </w:p>
        </w:tc>
        <w:tc>
          <w:tcPr>
            <w:tcW w:w="4275" w:type="dxa"/>
            <w:vAlign w:val="center"/>
          </w:tcPr>
          <w:p w14:paraId="38FC7A09">
            <w:pPr>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主要内容</w:t>
            </w:r>
          </w:p>
        </w:tc>
        <w:tc>
          <w:tcPr>
            <w:tcW w:w="1880" w:type="dxa"/>
            <w:vAlign w:val="center"/>
          </w:tcPr>
          <w:p w14:paraId="48E27047">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是否响应</w:t>
            </w:r>
          </w:p>
        </w:tc>
      </w:tr>
      <w:tr w14:paraId="251C1D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972" w:hRule="atLeast"/>
          <w:jc w:val="center"/>
        </w:trPr>
        <w:tc>
          <w:tcPr>
            <w:tcW w:w="874" w:type="dxa"/>
            <w:vAlign w:val="center"/>
          </w:tcPr>
          <w:p w14:paraId="6761BE40">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p>
        </w:tc>
        <w:tc>
          <w:tcPr>
            <w:tcW w:w="1880" w:type="dxa"/>
            <w:vAlign w:val="center"/>
          </w:tcPr>
          <w:p w14:paraId="2BCC9CC8">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方案条款</w:t>
            </w:r>
          </w:p>
        </w:tc>
        <w:tc>
          <w:tcPr>
            <w:tcW w:w="4275" w:type="dxa"/>
            <w:vAlign w:val="center"/>
          </w:tcPr>
          <w:p w14:paraId="63A75DF9">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符合安全生产责任事故预防技术方案的相关条款</w:t>
            </w:r>
          </w:p>
        </w:tc>
        <w:tc>
          <w:tcPr>
            <w:tcW w:w="1880" w:type="dxa"/>
            <w:vAlign w:val="center"/>
          </w:tcPr>
          <w:p w14:paraId="26CD17F0">
            <w:pPr>
              <w:rPr>
                <w:rFonts w:hint="eastAsia" w:ascii="宋体" w:hAnsi="宋体" w:cs="宋体"/>
                <w:color w:val="000000" w:themeColor="text1"/>
                <w:sz w:val="24"/>
                <w:szCs w:val="24"/>
                <w14:textFill>
                  <w14:solidFill>
                    <w14:schemeClr w14:val="tx1"/>
                  </w14:solidFill>
                </w14:textFill>
              </w:rPr>
            </w:pPr>
          </w:p>
        </w:tc>
      </w:tr>
      <w:tr w14:paraId="0CA396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958" w:hRule="atLeast"/>
          <w:jc w:val="center"/>
        </w:trPr>
        <w:tc>
          <w:tcPr>
            <w:tcW w:w="874" w:type="dxa"/>
            <w:vAlign w:val="center"/>
          </w:tcPr>
          <w:p w14:paraId="4292F415">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w:t>
            </w:r>
          </w:p>
        </w:tc>
        <w:tc>
          <w:tcPr>
            <w:tcW w:w="1880" w:type="dxa"/>
            <w:vAlign w:val="center"/>
          </w:tcPr>
          <w:p w14:paraId="1AAA8F3D">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服务方案</w:t>
            </w:r>
          </w:p>
        </w:tc>
        <w:tc>
          <w:tcPr>
            <w:tcW w:w="4275" w:type="dxa"/>
            <w:vAlign w:val="center"/>
          </w:tcPr>
          <w:p w14:paraId="1C45E730">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响应竞争性磋商文件中规定的方案和合作协议中的内容作为服务基准</w:t>
            </w:r>
          </w:p>
        </w:tc>
        <w:tc>
          <w:tcPr>
            <w:tcW w:w="1880" w:type="dxa"/>
            <w:vAlign w:val="center"/>
          </w:tcPr>
          <w:p w14:paraId="40C2CF9D">
            <w:pPr>
              <w:rPr>
                <w:rFonts w:hint="eastAsia" w:ascii="宋体" w:hAnsi="宋体" w:cs="宋体"/>
                <w:color w:val="000000" w:themeColor="text1"/>
                <w:sz w:val="24"/>
                <w:szCs w:val="24"/>
                <w14:textFill>
                  <w14:solidFill>
                    <w14:schemeClr w14:val="tx1"/>
                  </w14:solidFill>
                </w14:textFill>
              </w:rPr>
            </w:pPr>
          </w:p>
        </w:tc>
      </w:tr>
      <w:tr w14:paraId="580675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945" w:hRule="atLeast"/>
          <w:jc w:val="center"/>
        </w:trPr>
        <w:tc>
          <w:tcPr>
            <w:tcW w:w="874" w:type="dxa"/>
            <w:vAlign w:val="center"/>
          </w:tcPr>
          <w:p w14:paraId="7AC5E609">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w:t>
            </w:r>
          </w:p>
        </w:tc>
        <w:tc>
          <w:tcPr>
            <w:tcW w:w="1880" w:type="dxa"/>
            <w:vAlign w:val="center"/>
          </w:tcPr>
          <w:p w14:paraId="1516DA5D">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服务机构</w:t>
            </w:r>
          </w:p>
        </w:tc>
        <w:tc>
          <w:tcPr>
            <w:tcW w:w="4275" w:type="dxa"/>
            <w:vAlign w:val="center"/>
          </w:tcPr>
          <w:p w14:paraId="28C3D543">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在宣城市设有服务机构并配备完善的服务队伍</w:t>
            </w:r>
          </w:p>
        </w:tc>
        <w:tc>
          <w:tcPr>
            <w:tcW w:w="1880" w:type="dxa"/>
            <w:vAlign w:val="center"/>
          </w:tcPr>
          <w:p w14:paraId="7BD93D02">
            <w:pPr>
              <w:rPr>
                <w:rFonts w:hint="eastAsia" w:ascii="宋体" w:hAnsi="宋体" w:cs="宋体"/>
                <w:color w:val="000000" w:themeColor="text1"/>
                <w:sz w:val="24"/>
                <w:szCs w:val="24"/>
                <w14:textFill>
                  <w14:solidFill>
                    <w14:schemeClr w14:val="tx1"/>
                  </w14:solidFill>
                </w14:textFill>
              </w:rPr>
            </w:pPr>
          </w:p>
        </w:tc>
      </w:tr>
      <w:tr w14:paraId="03F130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972" w:hRule="atLeast"/>
          <w:jc w:val="center"/>
        </w:trPr>
        <w:tc>
          <w:tcPr>
            <w:tcW w:w="874" w:type="dxa"/>
            <w:vAlign w:val="center"/>
          </w:tcPr>
          <w:p w14:paraId="0AD5BDFD">
            <w:pPr>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w:t>
            </w:r>
          </w:p>
        </w:tc>
        <w:tc>
          <w:tcPr>
            <w:tcW w:w="1880" w:type="dxa"/>
            <w:vAlign w:val="center"/>
          </w:tcPr>
          <w:p w14:paraId="44E63F45">
            <w:pPr>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相关政策</w:t>
            </w:r>
          </w:p>
        </w:tc>
        <w:tc>
          <w:tcPr>
            <w:tcW w:w="4275" w:type="dxa"/>
            <w:vAlign w:val="center"/>
          </w:tcPr>
          <w:p w14:paraId="501601EC">
            <w:pP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响应国务院及省市安责险事故预防技术服务文件相关要求</w:t>
            </w:r>
          </w:p>
        </w:tc>
        <w:tc>
          <w:tcPr>
            <w:tcW w:w="1880" w:type="dxa"/>
            <w:vAlign w:val="center"/>
          </w:tcPr>
          <w:p w14:paraId="77549BFD">
            <w:pPr>
              <w:rPr>
                <w:rFonts w:hint="eastAsia" w:ascii="宋体" w:hAnsi="宋体" w:cs="宋体"/>
                <w:color w:val="000000" w:themeColor="text1"/>
                <w:sz w:val="24"/>
                <w:szCs w:val="24"/>
                <w14:textFill>
                  <w14:solidFill>
                    <w14:schemeClr w14:val="tx1"/>
                  </w14:solidFill>
                </w14:textFill>
              </w:rPr>
            </w:pPr>
          </w:p>
        </w:tc>
      </w:tr>
      <w:tr w14:paraId="7FD321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4" w:hRule="atLeast"/>
          <w:jc w:val="center"/>
        </w:trPr>
        <w:tc>
          <w:tcPr>
            <w:tcW w:w="874" w:type="dxa"/>
            <w:vAlign w:val="center"/>
          </w:tcPr>
          <w:p w14:paraId="56D5AE8B">
            <w:pPr>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w:t>
            </w:r>
          </w:p>
        </w:tc>
        <w:tc>
          <w:tcPr>
            <w:tcW w:w="1880" w:type="dxa"/>
            <w:vAlign w:val="center"/>
          </w:tcPr>
          <w:p w14:paraId="5E95DE6A">
            <w:pPr>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合作协议</w:t>
            </w:r>
          </w:p>
        </w:tc>
        <w:tc>
          <w:tcPr>
            <w:tcW w:w="4275" w:type="dxa"/>
            <w:vAlign w:val="center"/>
          </w:tcPr>
          <w:p w14:paraId="36827322">
            <w:pP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响应本文件附件中的合作协议相关要求，并接受郎溪县建设工程监理协会、安徽国元保险经纪股份有限公司宣城分公司和中国人民财产保险股份有限公司宣城市分公司国元农业保险股份有限公司宣城中心支公司、中国人寿财产保险股份有限公司宣城市中心支公司和申能财产保险股份有限公司宣城中心支公司的监督管理</w:t>
            </w:r>
          </w:p>
        </w:tc>
        <w:tc>
          <w:tcPr>
            <w:tcW w:w="1880" w:type="dxa"/>
            <w:vAlign w:val="center"/>
          </w:tcPr>
          <w:p w14:paraId="4587A509">
            <w:pPr>
              <w:rPr>
                <w:rFonts w:hint="eastAsia" w:ascii="宋体" w:hAnsi="宋体" w:cs="宋体"/>
                <w:color w:val="000000" w:themeColor="text1"/>
                <w:sz w:val="24"/>
                <w:szCs w:val="24"/>
                <w14:textFill>
                  <w14:solidFill>
                    <w14:schemeClr w14:val="tx1"/>
                  </w14:solidFill>
                </w14:textFill>
              </w:rPr>
            </w:pPr>
          </w:p>
        </w:tc>
      </w:tr>
    </w:tbl>
    <w:p w14:paraId="61AFDCC2">
      <w:pPr>
        <w:rPr>
          <w:rFonts w:hint="eastAsia" w:ascii="宋体" w:hAnsi="宋体"/>
          <w:b/>
          <w:color w:val="000000" w:themeColor="text1"/>
          <w:sz w:val="24"/>
          <w:szCs w:val="24"/>
          <w14:textFill>
            <w14:solidFill>
              <w14:schemeClr w14:val="tx1"/>
            </w14:solidFill>
          </w14:textFill>
        </w:rPr>
      </w:pPr>
    </w:p>
    <w:p w14:paraId="32B4DB04">
      <w:pPr>
        <w:rPr>
          <w:rFonts w:hint="eastAsia" w:ascii="宋体" w:hAnsi="宋体" w:eastAsia="宋体" w:cs="Times New Roman"/>
          <w:b/>
          <w:color w:val="000000" w:themeColor="text1"/>
          <w:kern w:val="2"/>
          <w:sz w:val="24"/>
          <w14:textFill>
            <w14:solidFill>
              <w14:schemeClr w14:val="tx1"/>
            </w14:solidFill>
          </w14:textFill>
        </w:rPr>
      </w:pPr>
    </w:p>
    <w:p w14:paraId="5F42E871">
      <w:pPr>
        <w:rPr>
          <w:rFonts w:hint="eastAsia" w:ascii="宋体" w:hAnsi="宋体" w:eastAsia="宋体" w:cs="Times New Roman"/>
          <w:b/>
          <w:color w:val="000000" w:themeColor="text1"/>
          <w:kern w:val="2"/>
          <w:sz w:val="24"/>
          <w14:textFill>
            <w14:solidFill>
              <w14:schemeClr w14:val="tx1"/>
            </w14:solidFill>
          </w14:textFill>
        </w:rPr>
      </w:pPr>
    </w:p>
    <w:p w14:paraId="24DC158A">
      <w:pPr>
        <w:rPr>
          <w:rFonts w:hint="eastAsia" w:ascii="宋体" w:hAnsi="宋体" w:eastAsia="宋体" w:cs="Times New Roman"/>
          <w:b/>
          <w:color w:val="000000" w:themeColor="text1"/>
          <w:kern w:val="2"/>
          <w:sz w:val="24"/>
          <w14:textFill>
            <w14:solidFill>
              <w14:schemeClr w14:val="tx1"/>
            </w14:solidFill>
          </w14:textFill>
        </w:rPr>
      </w:pPr>
    </w:p>
    <w:p w14:paraId="2A33047C">
      <w:pPr>
        <w:rPr>
          <w:rFonts w:hint="eastAsia" w:ascii="宋体" w:hAnsi="宋体" w:eastAsia="宋体" w:cs="Times New Roman"/>
          <w:b/>
          <w:color w:val="000000" w:themeColor="text1"/>
          <w:kern w:val="2"/>
          <w:sz w:val="24"/>
          <w14:textFill>
            <w14:solidFill>
              <w14:schemeClr w14:val="tx1"/>
            </w14:solidFill>
          </w14:textFill>
        </w:rPr>
      </w:pPr>
    </w:p>
    <w:p w14:paraId="023FC91D">
      <w:pPr>
        <w:rPr>
          <w:rFonts w:hint="eastAsia" w:ascii="宋体" w:hAnsi="宋体" w:eastAsia="宋体" w:cs="Times New Roman"/>
          <w:b/>
          <w:color w:val="000000" w:themeColor="text1"/>
          <w:kern w:val="2"/>
          <w:sz w:val="24"/>
          <w14:textFill>
            <w14:solidFill>
              <w14:schemeClr w14:val="tx1"/>
            </w14:solidFill>
          </w14:textFill>
        </w:rPr>
      </w:pPr>
    </w:p>
    <w:p w14:paraId="64131C9F">
      <w:pPr>
        <w:rPr>
          <w:rFonts w:hint="eastAsia" w:ascii="宋体" w:hAnsi="宋体" w:cs="Times New Roman"/>
          <w:b/>
          <w:color w:val="000000" w:themeColor="text1"/>
          <w:kern w:val="2"/>
          <w:sz w:val="24"/>
          <w14:textFill>
            <w14:solidFill>
              <w14:schemeClr w14:val="tx1"/>
            </w14:solidFill>
          </w14:textFill>
        </w:rPr>
      </w:pPr>
      <w:r>
        <w:rPr>
          <w:rFonts w:hint="eastAsia" w:ascii="宋体" w:hAnsi="宋体" w:eastAsia="宋体" w:cs="Times New Roman"/>
          <w:b/>
          <w:color w:val="000000" w:themeColor="text1"/>
          <w:kern w:val="2"/>
          <w:sz w:val="24"/>
          <w14:textFill>
            <w14:solidFill>
              <w14:schemeClr w14:val="tx1"/>
            </w14:solidFill>
          </w14:textFill>
        </w:rPr>
        <w:br w:type="page"/>
      </w:r>
      <w:r>
        <w:rPr>
          <w:rFonts w:hint="eastAsia" w:ascii="宋体" w:hAnsi="宋体" w:cs="Times New Roman"/>
          <w:b/>
          <w:color w:val="000000" w:themeColor="text1"/>
          <w:kern w:val="2"/>
          <w:sz w:val="28"/>
          <w:szCs w:val="24"/>
          <w14:textFill>
            <w14:solidFill>
              <w14:schemeClr w14:val="tx1"/>
            </w14:solidFill>
          </w14:textFill>
        </w:rPr>
        <w:t>二、事故预防技术服务方案响应函</w:t>
      </w:r>
    </w:p>
    <w:p w14:paraId="4C3DFDB8">
      <w:pPr>
        <w:rPr>
          <w:rFonts w:hint="eastAsia" w:ascii="宋体" w:hAnsi="宋体" w:cs="Times New Roman"/>
          <w:bCs/>
          <w:color w:val="000000" w:themeColor="text1"/>
          <w:kern w:val="2"/>
          <w:sz w:val="24"/>
          <w14:textFill>
            <w14:solidFill>
              <w14:schemeClr w14:val="tx1"/>
            </w14:solidFill>
          </w14:textFill>
        </w:rPr>
      </w:pPr>
    </w:p>
    <w:p w14:paraId="013B534A">
      <w:pPr>
        <w:pStyle w:val="2"/>
        <w:jc w:val="both"/>
        <w:rPr>
          <w:color w:val="000000" w:themeColor="text1"/>
          <w14:textFill>
            <w14:solidFill>
              <w14:schemeClr w14:val="tx1"/>
            </w14:solidFill>
          </w14:textFill>
        </w:rPr>
      </w:pPr>
    </w:p>
    <w:p w14:paraId="5BF6F062">
      <w:pPr>
        <w:spacing w:line="360" w:lineRule="auto"/>
        <w:rPr>
          <w:rFonts w:hint="eastAsia" w:ascii="宋体" w:hAnsi="宋体" w:eastAsia="宋体" w:cs="宋体"/>
          <w:color w:val="000000" w:themeColor="text1"/>
          <w:sz w:val="24"/>
          <w:szCs w:val="24"/>
          <w:u w:val="single"/>
          <w14:textFill>
            <w14:solidFill>
              <w14:schemeClr w14:val="tx1"/>
            </w14:solidFill>
          </w14:textFill>
        </w:rPr>
      </w:pPr>
      <w:r>
        <w:rPr>
          <w:rFonts w:hint="eastAsia" w:ascii="宋体" w:hAnsi="宋体" w:eastAsia="宋体" w:cs="宋体"/>
          <w:color w:val="000000" w:themeColor="text1"/>
          <w:sz w:val="24"/>
          <w:szCs w:val="24"/>
          <w:u w:val="single"/>
          <w14:textFill>
            <w14:solidFill>
              <w14:schemeClr w14:val="tx1"/>
            </w14:solidFill>
          </w14:textFill>
        </w:rPr>
        <w:t>郎溪县建设工程监理协会、安徽国元保险经纪股份有限公司宣城分公司、</w:t>
      </w:r>
    </w:p>
    <w:p w14:paraId="2B70C9C7">
      <w:pPr>
        <w:spacing w:line="360" w:lineRule="auto"/>
        <w:rPr>
          <w:rFonts w:hint="eastAsia" w:ascii="宋体" w:hAnsi="宋体" w:cs="Times New Roman"/>
          <w:bCs/>
          <w:color w:val="000000" w:themeColor="text1"/>
          <w:kern w:val="2"/>
          <w:sz w:val="24"/>
          <w14:textFill>
            <w14:solidFill>
              <w14:schemeClr w14:val="tx1"/>
            </w14:solidFill>
          </w14:textFill>
        </w:rPr>
      </w:pPr>
      <w:r>
        <w:rPr>
          <w:rFonts w:hint="eastAsia" w:ascii="宋体" w:hAnsi="宋体" w:eastAsia="宋体" w:cs="宋体"/>
          <w:color w:val="000000" w:themeColor="text1"/>
          <w:sz w:val="24"/>
          <w:szCs w:val="24"/>
          <w:u w:val="single"/>
          <w14:textFill>
            <w14:solidFill>
              <w14:schemeClr w14:val="tx1"/>
            </w14:solidFill>
          </w14:textFill>
        </w:rPr>
        <w:t>中国人民财产保险股份有限公司宣城市分公司、国元农业保险股份有限公司宣城中心支公司、中国人寿财产保险股份有限公司宣城市中心支公司和申能财产保险股份有限公司宣城中心支公司</w:t>
      </w:r>
      <w:r>
        <w:rPr>
          <w:rFonts w:hint="eastAsia" w:ascii="宋体" w:hAnsi="宋体" w:eastAsia="宋体" w:cs="宋体"/>
          <w:bCs/>
          <w:color w:val="000000" w:themeColor="text1"/>
          <w:kern w:val="2"/>
          <w:sz w:val="24"/>
          <w:szCs w:val="24"/>
          <w14:textFill>
            <w14:solidFill>
              <w14:schemeClr w14:val="tx1"/>
            </w14:solidFill>
          </w14:textFill>
        </w:rPr>
        <w:t>：</w:t>
      </w:r>
    </w:p>
    <w:p w14:paraId="771DD5CB">
      <w:pPr>
        <w:spacing w:line="360" w:lineRule="auto"/>
        <w:ind w:firstLine="480" w:firstLineChars="200"/>
        <w:rPr>
          <w:rFonts w:hint="eastAsia" w:ascii="宋体" w:hAnsi="宋体" w:cs="Times New Roman"/>
          <w:bCs/>
          <w:color w:val="000000" w:themeColor="text1"/>
          <w:kern w:val="2"/>
          <w:sz w:val="24"/>
          <w14:textFill>
            <w14:solidFill>
              <w14:schemeClr w14:val="tx1"/>
            </w14:solidFill>
          </w14:textFill>
        </w:rPr>
      </w:pPr>
    </w:p>
    <w:p w14:paraId="20F9A4FF">
      <w:pPr>
        <w:spacing w:line="360" w:lineRule="auto"/>
        <w:ind w:firstLine="480" w:firstLineChars="200"/>
        <w:rPr>
          <w:rFonts w:hint="eastAsia" w:ascii="宋体" w:hAnsi="宋体" w:cs="Times New Roman"/>
          <w:bCs/>
          <w:color w:val="000000" w:themeColor="text1"/>
          <w:kern w:val="2"/>
          <w:sz w:val="24"/>
          <w14:textFill>
            <w14:solidFill>
              <w14:schemeClr w14:val="tx1"/>
            </w14:solidFill>
          </w14:textFill>
        </w:rPr>
      </w:pPr>
      <w:r>
        <w:rPr>
          <w:rFonts w:hint="eastAsia" w:ascii="宋体" w:hAnsi="宋体" w:cs="Times New Roman"/>
          <w:bCs/>
          <w:color w:val="000000" w:themeColor="text1"/>
          <w:kern w:val="2"/>
          <w:sz w:val="24"/>
          <w14:textFill>
            <w14:solidFill>
              <w14:schemeClr w14:val="tx1"/>
            </w14:solidFill>
          </w14:textFill>
        </w:rPr>
        <w:t>我单位</w:t>
      </w:r>
      <w:r>
        <w:rPr>
          <w:rFonts w:hint="eastAsia" w:ascii="宋体" w:hAnsi="宋体" w:cs="Times New Roman"/>
          <w:bCs/>
          <w:color w:val="000000" w:themeColor="text1"/>
          <w:kern w:val="2"/>
          <w:sz w:val="24"/>
          <w:u w:val="single"/>
          <w14:textFill>
            <w14:solidFill>
              <w14:schemeClr w14:val="tx1"/>
            </w14:solidFill>
          </w14:textFill>
        </w:rPr>
        <w:t xml:space="preserve">               </w:t>
      </w:r>
      <w:r>
        <w:rPr>
          <w:rFonts w:hint="eastAsia" w:ascii="宋体" w:hAnsi="宋体" w:cs="Times New Roman"/>
          <w:bCs/>
          <w:color w:val="000000" w:themeColor="text1"/>
          <w:kern w:val="2"/>
          <w:sz w:val="24"/>
          <w14:textFill>
            <w14:solidFill>
              <w14:schemeClr w14:val="tx1"/>
            </w14:solidFill>
          </w14:textFill>
        </w:rPr>
        <w:t>（公司全称）自愿对</w:t>
      </w:r>
      <w:r>
        <w:rPr>
          <w:rFonts w:hint="eastAsia" w:ascii="宋体" w:hAnsi="宋体" w:cs="宋体"/>
          <w:color w:val="000000" w:themeColor="text1"/>
          <w:sz w:val="23"/>
          <w:szCs w:val="23"/>
          <w:u w:val="single"/>
          <w14:textFill>
            <w14:solidFill>
              <w14:schemeClr w14:val="tx1"/>
            </w14:solidFill>
          </w14:textFill>
        </w:rPr>
        <w:t xml:space="preserve"> 郎溪县</w:t>
      </w:r>
      <w:r>
        <w:rPr>
          <w:rFonts w:hint="eastAsia" w:ascii="宋体" w:hAnsi="宋体" w:cs="宋体"/>
          <w:color w:val="000000" w:themeColor="text1"/>
          <w:sz w:val="24"/>
          <w:szCs w:val="24"/>
          <w:u w:val="single"/>
          <w14:textFill>
            <w14:solidFill>
              <w14:schemeClr w14:val="tx1"/>
            </w14:solidFill>
          </w14:textFill>
        </w:rPr>
        <w:t xml:space="preserve">建筑施工安全生产责任保险事故预防技术服务采购项目 </w:t>
      </w:r>
      <w:r>
        <w:rPr>
          <w:rFonts w:hint="eastAsia" w:ascii="宋体" w:hAnsi="宋体" w:cs="宋体"/>
          <w:color w:val="000000" w:themeColor="text1"/>
          <w:sz w:val="23"/>
          <w:szCs w:val="23"/>
          <w:u w:val="single"/>
          <w14:textFill>
            <w14:solidFill>
              <w14:schemeClr w14:val="tx1"/>
            </w14:solidFill>
          </w14:textFill>
        </w:rPr>
        <w:t xml:space="preserve"> </w:t>
      </w:r>
      <w:r>
        <w:rPr>
          <w:rFonts w:hint="eastAsia" w:ascii="宋体" w:hAnsi="宋体" w:cs="Times New Roman"/>
          <w:bCs/>
          <w:color w:val="000000" w:themeColor="text1"/>
          <w:kern w:val="2"/>
          <w:sz w:val="24"/>
          <w14:textFill>
            <w14:solidFill>
              <w14:schemeClr w14:val="tx1"/>
            </w14:solidFill>
          </w14:textFill>
        </w:rPr>
        <w:t>事故预防技术服务方案进行响应，我单位承诺完全响应本次竞争性磋商的方案。同时确保在接到本单位中标通知后2日内作出回复。</w:t>
      </w:r>
    </w:p>
    <w:p w14:paraId="243B8BFA">
      <w:pPr>
        <w:spacing w:line="360" w:lineRule="auto"/>
        <w:ind w:firstLine="480" w:firstLineChars="200"/>
        <w:rPr>
          <w:rFonts w:hint="eastAsia" w:ascii="宋体" w:hAnsi="宋体" w:cs="Times New Roman"/>
          <w:bCs/>
          <w:color w:val="000000" w:themeColor="text1"/>
          <w:kern w:val="2"/>
          <w:sz w:val="24"/>
          <w14:textFill>
            <w14:solidFill>
              <w14:schemeClr w14:val="tx1"/>
            </w14:solidFill>
          </w14:textFill>
        </w:rPr>
      </w:pPr>
      <w:r>
        <w:rPr>
          <w:rFonts w:hint="eastAsia" w:ascii="宋体" w:hAnsi="宋体" w:cs="Times New Roman"/>
          <w:bCs/>
          <w:color w:val="000000" w:themeColor="text1"/>
          <w:kern w:val="2"/>
          <w:sz w:val="24"/>
          <w14:textFill>
            <w14:solidFill>
              <w14:schemeClr w14:val="tx1"/>
            </w14:solidFill>
          </w14:textFill>
        </w:rPr>
        <w:t>特此承诺。</w:t>
      </w:r>
    </w:p>
    <w:p w14:paraId="1B75B849">
      <w:pPr>
        <w:ind w:firstLine="460" w:firstLineChars="200"/>
        <w:rPr>
          <w:rFonts w:hint="eastAsia" w:ascii="宋体" w:hAnsi="宋体" w:cs="宋体"/>
          <w:bCs/>
          <w:color w:val="000000" w:themeColor="text1"/>
          <w:sz w:val="23"/>
          <w:szCs w:val="23"/>
          <w14:textFill>
            <w14:solidFill>
              <w14:schemeClr w14:val="tx1"/>
            </w14:solidFill>
          </w14:textFill>
        </w:rPr>
      </w:pPr>
    </w:p>
    <w:p w14:paraId="0E2B806B">
      <w:pPr>
        <w:spacing w:line="360" w:lineRule="auto"/>
        <w:ind w:firstLine="460" w:firstLineChars="200"/>
        <w:jc w:val="right"/>
        <w:rPr>
          <w:rFonts w:hint="eastAsia" w:ascii="宋体" w:hAnsi="宋体" w:cs="Times New Roman"/>
          <w:bCs/>
          <w:color w:val="000000" w:themeColor="text1"/>
          <w:kern w:val="2"/>
          <w:sz w:val="24"/>
          <w14:textFill>
            <w14:solidFill>
              <w14:schemeClr w14:val="tx1"/>
            </w14:solidFill>
          </w14:textFill>
        </w:rPr>
      </w:pPr>
      <w:r>
        <w:rPr>
          <w:rFonts w:hint="eastAsia" w:ascii="宋体" w:hAnsi="宋体" w:cs="宋体"/>
          <w:bCs/>
          <w:color w:val="000000" w:themeColor="text1"/>
          <w:sz w:val="23"/>
          <w:szCs w:val="23"/>
          <w14:textFill>
            <w14:solidFill>
              <w14:schemeClr w14:val="tx1"/>
            </w14:solidFill>
          </w14:textFill>
        </w:rPr>
        <w:t>响应人：</w:t>
      </w:r>
      <w:r>
        <w:rPr>
          <w:rFonts w:hint="eastAsia" w:ascii="宋体" w:hAnsi="宋体" w:cs="Times New Roman"/>
          <w:b/>
          <w:color w:val="000000" w:themeColor="text1"/>
          <w:kern w:val="2"/>
          <w:sz w:val="24"/>
          <w:u w:val="single"/>
          <w14:textFill>
            <w14:solidFill>
              <w14:schemeClr w14:val="tx1"/>
            </w14:solidFill>
          </w14:textFill>
        </w:rPr>
        <w:t xml:space="preserve">           </w:t>
      </w:r>
      <w:r>
        <w:rPr>
          <w:rFonts w:hint="eastAsia" w:ascii="宋体" w:hAnsi="宋体" w:cs="Times New Roman"/>
          <w:bCs/>
          <w:color w:val="000000" w:themeColor="text1"/>
          <w:kern w:val="2"/>
          <w:sz w:val="24"/>
          <w:u w:val="single"/>
          <w14:textFill>
            <w14:solidFill>
              <w14:schemeClr w14:val="tx1"/>
            </w14:solidFill>
          </w14:textFill>
        </w:rPr>
        <w:t xml:space="preserve">    </w:t>
      </w:r>
      <w:r>
        <w:rPr>
          <w:rFonts w:hint="eastAsia" w:ascii="宋体" w:hAnsi="宋体" w:cs="Times New Roman"/>
          <w:bCs/>
          <w:color w:val="000000" w:themeColor="text1"/>
          <w:kern w:val="2"/>
          <w:sz w:val="24"/>
          <w14:textFill>
            <w14:solidFill>
              <w14:schemeClr w14:val="tx1"/>
            </w14:solidFill>
          </w14:textFill>
        </w:rPr>
        <w:t>（公司全称）</w:t>
      </w:r>
    </w:p>
    <w:p w14:paraId="35EA4FAE">
      <w:pPr>
        <w:spacing w:line="360" w:lineRule="auto"/>
        <w:ind w:firstLine="480" w:firstLineChars="200"/>
        <w:jc w:val="right"/>
        <w:rPr>
          <w:rFonts w:hint="eastAsia" w:ascii="宋体" w:hAnsi="宋体" w:cs="Times New Roman"/>
          <w:b/>
          <w:color w:val="000000" w:themeColor="text1"/>
          <w:kern w:val="2"/>
          <w:sz w:val="24"/>
          <w14:textFill>
            <w14:solidFill>
              <w14:schemeClr w14:val="tx1"/>
            </w14:solidFill>
          </w14:textFill>
        </w:rPr>
      </w:pPr>
      <w:r>
        <w:rPr>
          <w:rFonts w:hint="eastAsia" w:ascii="宋体" w:hAnsi="宋体" w:cs="Times New Roman"/>
          <w:bCs/>
          <w:color w:val="000000" w:themeColor="text1"/>
          <w:kern w:val="2"/>
          <w:sz w:val="24"/>
          <w14:textFill>
            <w14:solidFill>
              <w14:schemeClr w14:val="tx1"/>
            </w14:solidFill>
          </w14:textFill>
        </w:rPr>
        <w:t>2026年   月   日</w:t>
      </w:r>
    </w:p>
    <w:p w14:paraId="78FF92A2">
      <w:pPr>
        <w:rPr>
          <w:rFonts w:hint="eastAsia" w:ascii="宋体" w:hAnsi="宋体" w:cs="Times New Roman"/>
          <w:b/>
          <w:color w:val="000000" w:themeColor="text1"/>
          <w:kern w:val="2"/>
          <w:sz w:val="32"/>
          <w:szCs w:val="28"/>
          <w14:textFill>
            <w14:solidFill>
              <w14:schemeClr w14:val="tx1"/>
            </w14:solidFill>
          </w14:textFill>
        </w:rPr>
      </w:pPr>
      <w:r>
        <w:rPr>
          <w:rFonts w:hint="eastAsia" w:ascii="宋体" w:hAnsi="宋体" w:eastAsia="宋体" w:cs="Times New Roman"/>
          <w:b/>
          <w:color w:val="000000" w:themeColor="text1"/>
          <w:kern w:val="2"/>
          <w:sz w:val="24"/>
          <w14:textFill>
            <w14:solidFill>
              <w14:schemeClr w14:val="tx1"/>
            </w14:solidFill>
          </w14:textFill>
        </w:rPr>
        <w:br w:type="page"/>
      </w:r>
      <w:r>
        <w:rPr>
          <w:rFonts w:hint="eastAsia" w:ascii="宋体" w:hAnsi="宋体" w:cs="Times New Roman"/>
          <w:b/>
          <w:color w:val="000000" w:themeColor="text1"/>
          <w:kern w:val="2"/>
          <w:sz w:val="28"/>
          <w:szCs w:val="24"/>
          <w14:textFill>
            <w14:solidFill>
              <w14:schemeClr w14:val="tx1"/>
            </w14:solidFill>
          </w14:textFill>
        </w:rPr>
        <w:t>三</w:t>
      </w:r>
      <w:r>
        <w:rPr>
          <w:rFonts w:hint="eastAsia" w:ascii="宋体" w:hAnsi="宋体" w:eastAsia="宋体" w:cs="Times New Roman"/>
          <w:b/>
          <w:color w:val="000000" w:themeColor="text1"/>
          <w:kern w:val="2"/>
          <w:sz w:val="28"/>
          <w:szCs w:val="24"/>
          <w14:textFill>
            <w14:solidFill>
              <w14:schemeClr w14:val="tx1"/>
            </w14:solidFill>
          </w14:textFill>
        </w:rPr>
        <w:t>、服务方案响应内容</w:t>
      </w:r>
    </w:p>
    <w:p w14:paraId="7FA95B8A">
      <w:pPr>
        <w:rPr>
          <w:rFonts w:hint="eastAsia" w:ascii="宋体" w:hAnsi="宋体" w:eastAsia="宋体" w:cs="Times New Roman"/>
          <w:b/>
          <w:color w:val="000000" w:themeColor="text1"/>
          <w:kern w:val="2"/>
          <w:sz w:val="24"/>
          <w14:textFill>
            <w14:solidFill>
              <w14:schemeClr w14:val="tx1"/>
            </w14:solidFill>
          </w14:textFill>
        </w:rPr>
      </w:pPr>
    </w:p>
    <w:p w14:paraId="1F29C5BB">
      <w:pPr>
        <w:spacing w:before="120" w:after="120"/>
        <w:rPr>
          <w:rFonts w:hint="eastAsia" w:asciiTheme="minorEastAsia" w:hAnsiTheme="minorEastAsia" w:cstheme="minorEastAsia"/>
          <w:b/>
          <w:color w:val="000000" w:themeColor="text1"/>
          <w:sz w:val="24"/>
          <w:szCs w:val="20"/>
          <w14:textFill>
            <w14:solidFill>
              <w14:schemeClr w14:val="tx1"/>
            </w14:solidFill>
          </w14:textFill>
        </w:rPr>
      </w:pPr>
      <w:r>
        <w:rPr>
          <w:rFonts w:hint="eastAsia" w:asciiTheme="minorEastAsia" w:hAnsiTheme="minorEastAsia" w:cstheme="minorEastAsia"/>
          <w:b/>
          <w:color w:val="000000" w:themeColor="text1"/>
          <w:sz w:val="24"/>
          <w:szCs w:val="20"/>
          <w14:textFill>
            <w14:solidFill>
              <w14:schemeClr w14:val="tx1"/>
            </w14:solidFill>
          </w14:textFill>
        </w:rPr>
        <w:t>一、报价部分</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0"/>
        <w:gridCol w:w="1180"/>
        <w:gridCol w:w="3758"/>
        <w:gridCol w:w="2837"/>
      </w:tblGrid>
      <w:tr w14:paraId="17DD8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exact"/>
        </w:trPr>
        <w:tc>
          <w:tcPr>
            <w:tcW w:w="520" w:type="dxa"/>
            <w:vAlign w:val="center"/>
          </w:tcPr>
          <w:p w14:paraId="20934F82">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序号</w:t>
            </w:r>
          </w:p>
        </w:tc>
        <w:tc>
          <w:tcPr>
            <w:tcW w:w="1180" w:type="dxa"/>
            <w:vAlign w:val="center"/>
          </w:tcPr>
          <w:p w14:paraId="4E5DE706">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服务内容</w:t>
            </w:r>
          </w:p>
        </w:tc>
        <w:tc>
          <w:tcPr>
            <w:tcW w:w="3758" w:type="dxa"/>
            <w:vAlign w:val="center"/>
          </w:tcPr>
          <w:p w14:paraId="03749EE2">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服务要求</w:t>
            </w:r>
          </w:p>
        </w:tc>
        <w:tc>
          <w:tcPr>
            <w:tcW w:w="2837" w:type="dxa"/>
            <w:vAlign w:val="center"/>
          </w:tcPr>
          <w:p w14:paraId="2C000571">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报价</w:t>
            </w:r>
          </w:p>
        </w:tc>
      </w:tr>
      <w:tr w14:paraId="0CBAA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exact"/>
        </w:trPr>
        <w:tc>
          <w:tcPr>
            <w:tcW w:w="8295" w:type="dxa"/>
            <w:gridSpan w:val="4"/>
            <w:vAlign w:val="center"/>
          </w:tcPr>
          <w:p w14:paraId="27E4B9DA">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备注：以下报价为全包闭口总价，包含完成本项目全部工作内容所需的人工费、材料费、机械费、交通运输费、食宿费、税费、管理费、利润、风险费等一切不可预见费等所有全部费用，履约期间招标人不再另行支付任何其他费用。</w:t>
            </w:r>
          </w:p>
        </w:tc>
      </w:tr>
      <w:tr w14:paraId="589EE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520" w:type="dxa"/>
            <w:vMerge w:val="restart"/>
            <w:vAlign w:val="center"/>
          </w:tcPr>
          <w:p w14:paraId="6FA59DCA">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1</w:t>
            </w:r>
          </w:p>
        </w:tc>
        <w:tc>
          <w:tcPr>
            <w:tcW w:w="1180" w:type="dxa"/>
            <w:vMerge w:val="restart"/>
            <w:vAlign w:val="center"/>
          </w:tcPr>
          <w:p w14:paraId="3FA332B6">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color w:val="000000" w:themeColor="text1"/>
                <w:sz w:val="24"/>
                <w:szCs w:val="24"/>
                <w14:textFill>
                  <w14:solidFill>
                    <w14:schemeClr w14:val="tx1"/>
                  </w14:solidFill>
                </w14:textFill>
              </w:rPr>
              <w:t>安全生产宣传教育培训</w:t>
            </w:r>
          </w:p>
        </w:tc>
        <w:tc>
          <w:tcPr>
            <w:tcW w:w="3758" w:type="dxa"/>
            <w:vAlign w:val="center"/>
          </w:tcPr>
          <w:p w14:paraId="72DD5258">
            <w:pPr>
              <w:pStyle w:val="2"/>
              <w:jc w:val="both"/>
              <w:rPr>
                <w:rFonts w:hint="eastAsia" w:asciiTheme="minorEastAsia" w:hAnsiTheme="minorEastAsia" w:eastAsiaTheme="minorEastAsia" w:cstheme="minorEastAsia"/>
                <w:b w:val="0"/>
                <w:bCs/>
                <w:sz w:val="24"/>
                <w:szCs w:val="20"/>
              </w:rPr>
            </w:pPr>
            <w:r>
              <w:rPr>
                <w:rFonts w:asciiTheme="minorEastAsia" w:hAnsiTheme="minorEastAsia" w:eastAsiaTheme="minorEastAsia" w:cstheme="minorEastAsia"/>
                <w:b w:val="0"/>
                <w:bCs/>
                <w:sz w:val="24"/>
                <w:szCs w:val="20"/>
              </w:rPr>
              <w:t>单次培训</w:t>
            </w:r>
            <w:r>
              <w:rPr>
                <w:rFonts w:hint="eastAsia" w:asciiTheme="minorEastAsia" w:hAnsiTheme="minorEastAsia" w:eastAsiaTheme="minorEastAsia" w:cstheme="minorEastAsia"/>
                <w:b w:val="0"/>
                <w:bCs/>
                <w:sz w:val="24"/>
                <w:szCs w:val="20"/>
              </w:rPr>
              <w:t>培训时长2个课时，每课时60-90分钟。</w:t>
            </w:r>
          </w:p>
        </w:tc>
        <w:tc>
          <w:tcPr>
            <w:tcW w:w="2837" w:type="dxa"/>
            <w:vAlign w:val="center"/>
          </w:tcPr>
          <w:p w14:paraId="2FACFF31">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培训费</w:t>
            </w:r>
            <w:r>
              <w:rPr>
                <w:rFonts w:hint="eastAsia" w:asciiTheme="minorEastAsia" w:hAnsiTheme="minorEastAsia" w:eastAsiaTheme="minorEastAsia" w:cstheme="minorEastAsia"/>
                <w:b w:val="0"/>
                <w:bCs/>
                <w:sz w:val="24"/>
                <w:szCs w:val="20"/>
                <w:u w:val="single"/>
              </w:rPr>
              <w:t xml:space="preserve">      </w:t>
            </w:r>
            <w:r>
              <w:rPr>
                <w:rFonts w:hint="eastAsia" w:asciiTheme="minorEastAsia" w:hAnsiTheme="minorEastAsia" w:eastAsiaTheme="minorEastAsia" w:cstheme="minorEastAsia"/>
                <w:b w:val="0"/>
                <w:bCs/>
                <w:sz w:val="24"/>
                <w:szCs w:val="20"/>
              </w:rPr>
              <w:t>元/次。</w:t>
            </w:r>
          </w:p>
          <w:p w14:paraId="1AC6D325">
            <w:pPr>
              <w:pStyle w:val="2"/>
              <w:jc w:val="both"/>
              <w:rPr>
                <w:rFonts w:hint="eastAsia" w:asciiTheme="minorEastAsia" w:hAnsiTheme="minorEastAsia" w:eastAsiaTheme="minorEastAsia" w:cstheme="minorEastAsia"/>
                <w:b w:val="0"/>
                <w:bCs/>
                <w:sz w:val="24"/>
                <w:szCs w:val="20"/>
              </w:rPr>
            </w:pPr>
          </w:p>
        </w:tc>
      </w:tr>
      <w:tr w14:paraId="61980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520" w:type="dxa"/>
            <w:vMerge w:val="continue"/>
            <w:vAlign w:val="center"/>
          </w:tcPr>
          <w:p w14:paraId="63CA4FD3">
            <w:pPr>
              <w:pStyle w:val="2"/>
              <w:jc w:val="both"/>
              <w:rPr>
                <w:rFonts w:hint="eastAsia" w:asciiTheme="minorEastAsia" w:hAnsiTheme="minorEastAsia" w:eastAsiaTheme="minorEastAsia" w:cstheme="minorEastAsia"/>
                <w:b w:val="0"/>
                <w:bCs/>
                <w:sz w:val="24"/>
                <w:szCs w:val="20"/>
              </w:rPr>
            </w:pPr>
          </w:p>
        </w:tc>
        <w:tc>
          <w:tcPr>
            <w:tcW w:w="1180" w:type="dxa"/>
            <w:vMerge w:val="continue"/>
            <w:vAlign w:val="center"/>
          </w:tcPr>
          <w:p w14:paraId="63653EBF">
            <w:pPr>
              <w:pStyle w:val="2"/>
              <w:jc w:val="both"/>
              <w:rPr>
                <w:rFonts w:hint="eastAsia" w:asciiTheme="minorEastAsia" w:hAnsiTheme="minorEastAsia" w:eastAsiaTheme="minorEastAsia" w:cstheme="minorEastAsia"/>
                <w:b w:val="0"/>
                <w:bCs/>
                <w:color w:val="000000" w:themeColor="text1"/>
                <w:sz w:val="24"/>
                <w:szCs w:val="24"/>
                <w14:textFill>
                  <w14:solidFill>
                    <w14:schemeClr w14:val="tx1"/>
                  </w14:solidFill>
                </w14:textFill>
              </w:rPr>
            </w:pPr>
          </w:p>
        </w:tc>
        <w:tc>
          <w:tcPr>
            <w:tcW w:w="3758" w:type="dxa"/>
            <w:vAlign w:val="center"/>
          </w:tcPr>
          <w:p w14:paraId="3E251135">
            <w:pPr>
              <w:pStyle w:val="2"/>
              <w:jc w:val="both"/>
              <w:rPr>
                <w:rFonts w:hint="eastAsia" w:asciiTheme="minorEastAsia" w:hAnsiTheme="minorEastAsia" w:eastAsiaTheme="minorEastAsia" w:cstheme="minorEastAsia"/>
                <w:b w:val="0"/>
                <w:bCs/>
                <w:sz w:val="24"/>
                <w:szCs w:val="20"/>
              </w:rPr>
            </w:pPr>
            <w:r>
              <w:rPr>
                <w:rFonts w:asciiTheme="minorEastAsia" w:hAnsiTheme="minorEastAsia" w:eastAsiaTheme="minorEastAsia" w:cstheme="minorEastAsia"/>
                <w:b w:val="0"/>
                <w:bCs/>
                <w:sz w:val="24"/>
                <w:szCs w:val="20"/>
              </w:rPr>
              <w:t>单次培训规模</w:t>
            </w:r>
            <w:r>
              <w:rPr>
                <w:rFonts w:hint="eastAsia" w:asciiTheme="minorEastAsia" w:hAnsiTheme="minorEastAsia" w:eastAsiaTheme="minorEastAsia" w:cstheme="minorEastAsia"/>
                <w:b w:val="0"/>
                <w:bCs/>
                <w:sz w:val="24"/>
                <w:szCs w:val="20"/>
              </w:rPr>
              <w:t>100（含）以下；培训时长2个课时，每课时60-90分钟。</w:t>
            </w:r>
          </w:p>
        </w:tc>
        <w:tc>
          <w:tcPr>
            <w:tcW w:w="2837" w:type="dxa"/>
            <w:vAlign w:val="center"/>
          </w:tcPr>
          <w:p w14:paraId="2F1206B5">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提供场地费、培训相关的设施设备费等相关费用总计</w:t>
            </w:r>
            <w:r>
              <w:rPr>
                <w:rFonts w:hint="eastAsia" w:asciiTheme="minorEastAsia" w:hAnsiTheme="minorEastAsia" w:eastAsiaTheme="minorEastAsia" w:cstheme="minorEastAsia"/>
                <w:b w:val="0"/>
                <w:bCs/>
                <w:sz w:val="24"/>
                <w:szCs w:val="20"/>
                <w:u w:val="single"/>
              </w:rPr>
              <w:t xml:space="preserve">     </w:t>
            </w:r>
            <w:r>
              <w:rPr>
                <w:rFonts w:hint="eastAsia" w:asciiTheme="minorEastAsia" w:hAnsiTheme="minorEastAsia" w:eastAsiaTheme="minorEastAsia" w:cstheme="minorEastAsia"/>
                <w:b w:val="0"/>
                <w:bCs/>
                <w:sz w:val="24"/>
                <w:szCs w:val="20"/>
              </w:rPr>
              <w:t>元/次</w:t>
            </w:r>
          </w:p>
        </w:tc>
      </w:tr>
      <w:tr w14:paraId="236E2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520" w:type="dxa"/>
            <w:vMerge w:val="continue"/>
            <w:vAlign w:val="center"/>
          </w:tcPr>
          <w:p w14:paraId="20A4B866">
            <w:pPr>
              <w:pStyle w:val="2"/>
              <w:jc w:val="both"/>
              <w:rPr>
                <w:rFonts w:hint="eastAsia" w:asciiTheme="minorEastAsia" w:hAnsiTheme="minorEastAsia" w:eastAsiaTheme="minorEastAsia" w:cstheme="minorEastAsia"/>
                <w:b w:val="0"/>
                <w:bCs/>
                <w:sz w:val="24"/>
                <w:szCs w:val="20"/>
              </w:rPr>
            </w:pPr>
          </w:p>
        </w:tc>
        <w:tc>
          <w:tcPr>
            <w:tcW w:w="1180" w:type="dxa"/>
            <w:vMerge w:val="continue"/>
            <w:vAlign w:val="center"/>
          </w:tcPr>
          <w:p w14:paraId="6A42EB9B">
            <w:pPr>
              <w:pStyle w:val="2"/>
              <w:jc w:val="both"/>
              <w:rPr>
                <w:rFonts w:hint="eastAsia" w:asciiTheme="minorEastAsia" w:hAnsiTheme="minorEastAsia" w:eastAsiaTheme="minorEastAsia" w:cstheme="minorEastAsia"/>
                <w:b w:val="0"/>
                <w:bCs/>
                <w:color w:val="000000" w:themeColor="text1"/>
                <w:sz w:val="24"/>
                <w:szCs w:val="24"/>
                <w14:textFill>
                  <w14:solidFill>
                    <w14:schemeClr w14:val="tx1"/>
                  </w14:solidFill>
                </w14:textFill>
              </w:rPr>
            </w:pPr>
          </w:p>
        </w:tc>
        <w:tc>
          <w:tcPr>
            <w:tcW w:w="3758" w:type="dxa"/>
            <w:vAlign w:val="center"/>
          </w:tcPr>
          <w:p w14:paraId="24558F3F">
            <w:pPr>
              <w:pStyle w:val="2"/>
              <w:jc w:val="both"/>
              <w:rPr>
                <w:rFonts w:hint="eastAsia" w:asciiTheme="minorEastAsia" w:hAnsiTheme="minorEastAsia" w:eastAsiaTheme="minorEastAsia" w:cstheme="minorEastAsia"/>
                <w:b w:val="0"/>
                <w:bCs/>
                <w:sz w:val="24"/>
                <w:szCs w:val="20"/>
              </w:rPr>
            </w:pPr>
            <w:r>
              <w:rPr>
                <w:rFonts w:asciiTheme="minorEastAsia" w:hAnsiTheme="minorEastAsia" w:eastAsiaTheme="minorEastAsia" w:cstheme="minorEastAsia"/>
                <w:b w:val="0"/>
                <w:bCs/>
                <w:sz w:val="24"/>
                <w:szCs w:val="20"/>
              </w:rPr>
              <w:t>单次培训规模</w:t>
            </w:r>
            <w:r>
              <w:rPr>
                <w:rFonts w:hint="eastAsia" w:asciiTheme="minorEastAsia" w:hAnsiTheme="minorEastAsia" w:eastAsiaTheme="minorEastAsia" w:cstheme="minorEastAsia"/>
                <w:b w:val="0"/>
                <w:bCs/>
                <w:sz w:val="24"/>
                <w:szCs w:val="20"/>
              </w:rPr>
              <w:t>超过100人（不含）以上；培训时长2个课时，每课时60-90分钟。</w:t>
            </w:r>
          </w:p>
        </w:tc>
        <w:tc>
          <w:tcPr>
            <w:tcW w:w="2837" w:type="dxa"/>
            <w:vAlign w:val="center"/>
          </w:tcPr>
          <w:p w14:paraId="016539FC">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提供场地费、培训相关的设施设备费等相关费用总计</w:t>
            </w:r>
            <w:r>
              <w:rPr>
                <w:rFonts w:hint="eastAsia" w:asciiTheme="minorEastAsia" w:hAnsiTheme="minorEastAsia" w:eastAsiaTheme="minorEastAsia" w:cstheme="minorEastAsia"/>
                <w:b w:val="0"/>
                <w:bCs/>
                <w:sz w:val="24"/>
                <w:szCs w:val="20"/>
                <w:u w:val="single"/>
              </w:rPr>
              <w:t xml:space="preserve">     </w:t>
            </w:r>
            <w:r>
              <w:rPr>
                <w:rFonts w:hint="eastAsia" w:asciiTheme="minorEastAsia" w:hAnsiTheme="minorEastAsia" w:eastAsiaTheme="minorEastAsia" w:cstheme="minorEastAsia"/>
                <w:b w:val="0"/>
                <w:bCs/>
                <w:sz w:val="24"/>
                <w:szCs w:val="20"/>
              </w:rPr>
              <w:t>元/次</w:t>
            </w:r>
          </w:p>
        </w:tc>
      </w:tr>
      <w:tr w14:paraId="7D820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5" w:hRule="atLeast"/>
        </w:trPr>
        <w:tc>
          <w:tcPr>
            <w:tcW w:w="520" w:type="dxa"/>
            <w:vAlign w:val="center"/>
          </w:tcPr>
          <w:p w14:paraId="52E9A761">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2</w:t>
            </w:r>
          </w:p>
        </w:tc>
        <w:tc>
          <w:tcPr>
            <w:tcW w:w="1180" w:type="dxa"/>
            <w:vAlign w:val="center"/>
          </w:tcPr>
          <w:p w14:paraId="68C72198">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color w:val="000000" w:themeColor="text1"/>
                <w:sz w:val="24"/>
                <w:szCs w:val="24"/>
                <w14:textFill>
                  <w14:solidFill>
                    <w14:schemeClr w14:val="tx1"/>
                  </w14:solidFill>
                </w14:textFill>
              </w:rPr>
              <w:t>安全风险辨识、评估、评价</w:t>
            </w:r>
          </w:p>
        </w:tc>
        <w:tc>
          <w:tcPr>
            <w:tcW w:w="3758" w:type="dxa"/>
            <w:vAlign w:val="center"/>
          </w:tcPr>
          <w:p w14:paraId="3A60B536">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风险辨识：对所有作业活动、设备设施、危险场所开展风险点排查；</w:t>
            </w:r>
          </w:p>
          <w:p w14:paraId="2B14AF29">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风险评估：对风险点的可能性、影响程度进行评估，确定风险等级；</w:t>
            </w:r>
          </w:p>
          <w:p w14:paraId="539089DD">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风险评价：结合行业标准与企业实际，判定重大风险、较大风险，分析风险产生原因与管控现状。</w:t>
            </w:r>
          </w:p>
          <w:p w14:paraId="6B05D88C">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具体要求：每个项目每次服务时长不少于3小时，服务人员数量不少于3人。</w:t>
            </w:r>
          </w:p>
        </w:tc>
        <w:tc>
          <w:tcPr>
            <w:tcW w:w="2837" w:type="dxa"/>
            <w:vAlign w:val="center"/>
          </w:tcPr>
          <w:p w14:paraId="5A5156F6">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服务费用</w:t>
            </w:r>
            <w:r>
              <w:rPr>
                <w:rFonts w:hint="eastAsia" w:asciiTheme="minorEastAsia" w:hAnsiTheme="minorEastAsia" w:eastAsiaTheme="minorEastAsia" w:cstheme="minorEastAsia"/>
                <w:b w:val="0"/>
                <w:bCs/>
                <w:sz w:val="24"/>
                <w:szCs w:val="20"/>
                <w:u w:val="single"/>
              </w:rPr>
              <w:t xml:space="preserve">      </w:t>
            </w:r>
            <w:r>
              <w:rPr>
                <w:rFonts w:hint="eastAsia" w:asciiTheme="minorEastAsia" w:hAnsiTheme="minorEastAsia" w:eastAsiaTheme="minorEastAsia" w:cstheme="minorEastAsia"/>
                <w:b w:val="0"/>
                <w:bCs/>
                <w:sz w:val="24"/>
                <w:szCs w:val="20"/>
              </w:rPr>
              <w:t>元/次。</w:t>
            </w:r>
          </w:p>
        </w:tc>
      </w:tr>
      <w:tr w14:paraId="6CC7A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7" w:hRule="atLeast"/>
        </w:trPr>
        <w:tc>
          <w:tcPr>
            <w:tcW w:w="520" w:type="dxa"/>
            <w:vAlign w:val="center"/>
          </w:tcPr>
          <w:p w14:paraId="01859771">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3</w:t>
            </w:r>
          </w:p>
        </w:tc>
        <w:tc>
          <w:tcPr>
            <w:tcW w:w="1180" w:type="dxa"/>
            <w:vAlign w:val="center"/>
          </w:tcPr>
          <w:p w14:paraId="7D0F7F06">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color w:val="000000" w:themeColor="text1"/>
                <w:sz w:val="24"/>
                <w:szCs w:val="24"/>
                <w14:textFill>
                  <w14:solidFill>
                    <w14:schemeClr w14:val="tx1"/>
                  </w14:solidFill>
                </w14:textFill>
              </w:rPr>
              <w:t>安全生产标准化管理体系建设</w:t>
            </w:r>
          </w:p>
        </w:tc>
        <w:tc>
          <w:tcPr>
            <w:tcW w:w="3758" w:type="dxa"/>
            <w:vAlign w:val="center"/>
          </w:tcPr>
          <w:p w14:paraId="5688F321">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根据相关要求，积极配合企业完善安全生产标准化体系建设工作，为企业提供相关咨询服务工作。</w:t>
            </w:r>
          </w:p>
          <w:p w14:paraId="5EE41838">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具体要求：每个项目每次咨询服务时长不少于2小时，服务人员数量不少于1人。</w:t>
            </w:r>
          </w:p>
        </w:tc>
        <w:tc>
          <w:tcPr>
            <w:tcW w:w="2837" w:type="dxa"/>
            <w:vAlign w:val="center"/>
          </w:tcPr>
          <w:p w14:paraId="6F821760">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服务费用</w:t>
            </w:r>
            <w:r>
              <w:rPr>
                <w:rFonts w:hint="eastAsia" w:asciiTheme="minorEastAsia" w:hAnsiTheme="minorEastAsia" w:eastAsiaTheme="minorEastAsia" w:cstheme="minorEastAsia"/>
                <w:b w:val="0"/>
                <w:bCs/>
                <w:sz w:val="24"/>
                <w:szCs w:val="20"/>
                <w:u w:val="single"/>
              </w:rPr>
              <w:t xml:space="preserve">      </w:t>
            </w:r>
            <w:r>
              <w:rPr>
                <w:rFonts w:hint="eastAsia" w:asciiTheme="minorEastAsia" w:hAnsiTheme="minorEastAsia" w:eastAsiaTheme="minorEastAsia" w:cstheme="minorEastAsia"/>
                <w:b w:val="0"/>
                <w:bCs/>
                <w:sz w:val="24"/>
                <w:szCs w:val="20"/>
              </w:rPr>
              <w:t>元/次。</w:t>
            </w:r>
          </w:p>
        </w:tc>
      </w:tr>
      <w:tr w14:paraId="69EBD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0" w:hRule="exact"/>
        </w:trPr>
        <w:tc>
          <w:tcPr>
            <w:tcW w:w="520" w:type="dxa"/>
            <w:vMerge w:val="restart"/>
            <w:vAlign w:val="center"/>
          </w:tcPr>
          <w:p w14:paraId="4189C86A">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4</w:t>
            </w:r>
          </w:p>
        </w:tc>
        <w:tc>
          <w:tcPr>
            <w:tcW w:w="1180" w:type="dxa"/>
            <w:vMerge w:val="restart"/>
            <w:vAlign w:val="center"/>
          </w:tcPr>
          <w:p w14:paraId="5DDA6C4A">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color w:val="000000" w:themeColor="text1"/>
                <w:sz w:val="24"/>
                <w:szCs w:val="24"/>
                <w14:textFill>
                  <w14:solidFill>
                    <w14:schemeClr w14:val="tx1"/>
                  </w14:solidFill>
                </w14:textFill>
              </w:rPr>
              <w:t>生产安全重大事故隐患排查</w:t>
            </w:r>
          </w:p>
        </w:tc>
        <w:tc>
          <w:tcPr>
            <w:tcW w:w="3758" w:type="dxa"/>
            <w:vMerge w:val="restart"/>
            <w:vAlign w:val="center"/>
          </w:tcPr>
          <w:p w14:paraId="1F792E4C">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1. 排查准备：依据行业重大事故隐患判定标准，制定专项排查方案与检查表；</w:t>
            </w:r>
          </w:p>
          <w:p w14:paraId="06F1E42B">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2. 现场排查：采用资料审查+现场核查方式，对企业生产工艺、设备设施、安全管理、应急管理等环节开展全面排查；</w:t>
            </w:r>
          </w:p>
          <w:p w14:paraId="08CAEED6">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3. 隐患判定：对照判定标准，对排查出的隐患进行分级，识别重大事故隐患，明确隐患现状、产生原因；</w:t>
            </w:r>
          </w:p>
          <w:p w14:paraId="6C393778">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4. 整改指导：制定重大隐患专项治理方案，明确整改目标、措施、责任人、时间节点、监控措施；</w:t>
            </w:r>
          </w:p>
          <w:p w14:paraId="6A11EB7B">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5. 复查验收：对重大隐患整改情况进行复查，验证整改效果，闭环管理。</w:t>
            </w:r>
          </w:p>
          <w:p w14:paraId="4C83B54F">
            <w:pPr>
              <w:pStyle w:val="2"/>
              <w:jc w:val="both"/>
              <w:rPr>
                <w:rFonts w:hint="eastAsia" w:asciiTheme="minorEastAsia" w:hAnsiTheme="minorEastAsia" w:eastAsiaTheme="minorEastAsia" w:cstheme="minorEastAsia"/>
                <w:b w:val="0"/>
                <w:bCs/>
                <w:sz w:val="24"/>
                <w:szCs w:val="20"/>
              </w:rPr>
            </w:pPr>
          </w:p>
        </w:tc>
        <w:tc>
          <w:tcPr>
            <w:tcW w:w="2837" w:type="dxa"/>
            <w:vAlign w:val="center"/>
          </w:tcPr>
          <w:p w14:paraId="73CF798D">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工程造价3000万（含）以下项目每次服务时长不少于1小时；每次服务人员不少于2人；</w:t>
            </w:r>
          </w:p>
          <w:p w14:paraId="79771EF7">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服务费用</w:t>
            </w:r>
            <w:r>
              <w:rPr>
                <w:rFonts w:hint="eastAsia" w:asciiTheme="minorEastAsia" w:hAnsiTheme="minorEastAsia" w:eastAsiaTheme="minorEastAsia" w:cstheme="minorEastAsia"/>
                <w:b w:val="0"/>
                <w:bCs/>
                <w:sz w:val="24"/>
                <w:szCs w:val="20"/>
                <w:u w:val="single"/>
              </w:rPr>
              <w:t xml:space="preserve">      </w:t>
            </w:r>
            <w:r>
              <w:rPr>
                <w:rFonts w:hint="eastAsia" w:asciiTheme="minorEastAsia" w:hAnsiTheme="minorEastAsia" w:eastAsiaTheme="minorEastAsia" w:cstheme="minorEastAsia"/>
                <w:b w:val="0"/>
                <w:bCs/>
                <w:sz w:val="24"/>
                <w:szCs w:val="20"/>
              </w:rPr>
              <w:t>元/次。</w:t>
            </w:r>
          </w:p>
        </w:tc>
      </w:tr>
      <w:tr w14:paraId="6C96A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9" w:hRule="exact"/>
        </w:trPr>
        <w:tc>
          <w:tcPr>
            <w:tcW w:w="520" w:type="dxa"/>
            <w:vMerge w:val="continue"/>
            <w:vAlign w:val="center"/>
          </w:tcPr>
          <w:p w14:paraId="1794A8F1">
            <w:pPr>
              <w:pStyle w:val="2"/>
              <w:jc w:val="both"/>
              <w:rPr>
                <w:rFonts w:hint="eastAsia" w:asciiTheme="minorEastAsia" w:hAnsiTheme="minorEastAsia" w:eastAsiaTheme="minorEastAsia" w:cstheme="minorEastAsia"/>
                <w:b w:val="0"/>
                <w:bCs/>
                <w:sz w:val="24"/>
                <w:szCs w:val="20"/>
              </w:rPr>
            </w:pPr>
          </w:p>
        </w:tc>
        <w:tc>
          <w:tcPr>
            <w:tcW w:w="1180" w:type="dxa"/>
            <w:vMerge w:val="continue"/>
            <w:vAlign w:val="center"/>
          </w:tcPr>
          <w:p w14:paraId="3D21D49B">
            <w:pPr>
              <w:pStyle w:val="2"/>
              <w:jc w:val="both"/>
              <w:rPr>
                <w:rFonts w:hint="eastAsia" w:asciiTheme="minorEastAsia" w:hAnsiTheme="minorEastAsia" w:eastAsiaTheme="minorEastAsia" w:cstheme="minorEastAsia"/>
                <w:b w:val="0"/>
                <w:bCs/>
                <w:color w:val="000000" w:themeColor="text1"/>
                <w:sz w:val="24"/>
                <w:szCs w:val="24"/>
                <w14:textFill>
                  <w14:solidFill>
                    <w14:schemeClr w14:val="tx1"/>
                  </w14:solidFill>
                </w14:textFill>
              </w:rPr>
            </w:pPr>
          </w:p>
        </w:tc>
        <w:tc>
          <w:tcPr>
            <w:tcW w:w="3758" w:type="dxa"/>
            <w:vMerge w:val="continue"/>
            <w:vAlign w:val="center"/>
          </w:tcPr>
          <w:p w14:paraId="55E61AD8">
            <w:pPr>
              <w:pStyle w:val="2"/>
              <w:jc w:val="both"/>
              <w:rPr>
                <w:rFonts w:hint="eastAsia" w:asciiTheme="minorEastAsia" w:hAnsiTheme="minorEastAsia" w:eastAsiaTheme="minorEastAsia" w:cstheme="minorEastAsia"/>
                <w:b w:val="0"/>
                <w:bCs/>
                <w:sz w:val="24"/>
                <w:szCs w:val="20"/>
              </w:rPr>
            </w:pPr>
          </w:p>
        </w:tc>
        <w:tc>
          <w:tcPr>
            <w:tcW w:w="2837" w:type="dxa"/>
            <w:vAlign w:val="center"/>
          </w:tcPr>
          <w:p w14:paraId="77A0B6D1">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工程造价3000万（不含）以上1亿元（含）以上的项目每次服务时长不少于2小时；每次服务人员不少于3人；</w:t>
            </w:r>
          </w:p>
          <w:p w14:paraId="6B9274C5">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服务费用</w:t>
            </w:r>
            <w:r>
              <w:rPr>
                <w:rFonts w:hint="eastAsia" w:asciiTheme="minorEastAsia" w:hAnsiTheme="minorEastAsia" w:eastAsiaTheme="minorEastAsia" w:cstheme="minorEastAsia"/>
                <w:b w:val="0"/>
                <w:bCs/>
                <w:sz w:val="24"/>
                <w:szCs w:val="20"/>
                <w:u w:val="single"/>
              </w:rPr>
              <w:t xml:space="preserve">      </w:t>
            </w:r>
            <w:r>
              <w:rPr>
                <w:rFonts w:hint="eastAsia" w:asciiTheme="minorEastAsia" w:hAnsiTheme="minorEastAsia" w:eastAsiaTheme="minorEastAsia" w:cstheme="minorEastAsia"/>
                <w:b w:val="0"/>
                <w:bCs/>
                <w:sz w:val="24"/>
                <w:szCs w:val="20"/>
              </w:rPr>
              <w:t>元/次。</w:t>
            </w:r>
          </w:p>
        </w:tc>
      </w:tr>
      <w:tr w14:paraId="32419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7" w:hRule="exact"/>
        </w:trPr>
        <w:tc>
          <w:tcPr>
            <w:tcW w:w="520" w:type="dxa"/>
            <w:vMerge w:val="continue"/>
            <w:vAlign w:val="center"/>
          </w:tcPr>
          <w:p w14:paraId="6B4678F3">
            <w:pPr>
              <w:pStyle w:val="2"/>
              <w:jc w:val="both"/>
              <w:rPr>
                <w:rFonts w:hint="eastAsia" w:asciiTheme="minorEastAsia" w:hAnsiTheme="minorEastAsia" w:eastAsiaTheme="minorEastAsia" w:cstheme="minorEastAsia"/>
                <w:b w:val="0"/>
                <w:bCs/>
                <w:sz w:val="24"/>
                <w:szCs w:val="20"/>
              </w:rPr>
            </w:pPr>
          </w:p>
        </w:tc>
        <w:tc>
          <w:tcPr>
            <w:tcW w:w="1180" w:type="dxa"/>
            <w:vMerge w:val="continue"/>
            <w:vAlign w:val="center"/>
          </w:tcPr>
          <w:p w14:paraId="099AEAA8">
            <w:pPr>
              <w:pStyle w:val="2"/>
              <w:jc w:val="both"/>
              <w:rPr>
                <w:rFonts w:hint="eastAsia" w:asciiTheme="minorEastAsia" w:hAnsiTheme="minorEastAsia" w:eastAsiaTheme="minorEastAsia" w:cstheme="minorEastAsia"/>
                <w:b w:val="0"/>
                <w:bCs/>
                <w:color w:val="000000" w:themeColor="text1"/>
                <w:sz w:val="24"/>
                <w:szCs w:val="24"/>
                <w14:textFill>
                  <w14:solidFill>
                    <w14:schemeClr w14:val="tx1"/>
                  </w14:solidFill>
                </w14:textFill>
              </w:rPr>
            </w:pPr>
          </w:p>
        </w:tc>
        <w:tc>
          <w:tcPr>
            <w:tcW w:w="3758" w:type="dxa"/>
            <w:vMerge w:val="continue"/>
            <w:vAlign w:val="center"/>
          </w:tcPr>
          <w:p w14:paraId="1728E38F">
            <w:pPr>
              <w:pStyle w:val="2"/>
              <w:jc w:val="both"/>
              <w:rPr>
                <w:rFonts w:hint="eastAsia" w:asciiTheme="minorEastAsia" w:hAnsiTheme="minorEastAsia" w:eastAsiaTheme="minorEastAsia" w:cstheme="minorEastAsia"/>
                <w:b w:val="0"/>
                <w:bCs/>
                <w:sz w:val="24"/>
                <w:szCs w:val="20"/>
              </w:rPr>
            </w:pPr>
          </w:p>
        </w:tc>
        <w:tc>
          <w:tcPr>
            <w:tcW w:w="2837" w:type="dxa"/>
            <w:vAlign w:val="center"/>
          </w:tcPr>
          <w:p w14:paraId="16AEA517">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工程造价1亿元（不含）以上的项目每次服务时长不少于3小时；每次服务人员不少于4人；</w:t>
            </w:r>
          </w:p>
          <w:p w14:paraId="4500296A">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服务费用</w:t>
            </w:r>
            <w:r>
              <w:rPr>
                <w:rFonts w:hint="eastAsia" w:asciiTheme="minorEastAsia" w:hAnsiTheme="minorEastAsia" w:eastAsiaTheme="minorEastAsia" w:cstheme="minorEastAsia"/>
                <w:b w:val="0"/>
                <w:bCs/>
                <w:sz w:val="24"/>
                <w:szCs w:val="20"/>
                <w:u w:val="single"/>
              </w:rPr>
              <w:t xml:space="preserve">      </w:t>
            </w:r>
            <w:r>
              <w:rPr>
                <w:rFonts w:hint="eastAsia" w:asciiTheme="minorEastAsia" w:hAnsiTheme="minorEastAsia" w:eastAsiaTheme="minorEastAsia" w:cstheme="minorEastAsia"/>
                <w:b w:val="0"/>
                <w:bCs/>
                <w:sz w:val="24"/>
                <w:szCs w:val="20"/>
              </w:rPr>
              <w:t>元/次。</w:t>
            </w:r>
          </w:p>
        </w:tc>
      </w:tr>
      <w:tr w14:paraId="48AD4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3" w:hRule="atLeast"/>
        </w:trPr>
        <w:tc>
          <w:tcPr>
            <w:tcW w:w="520" w:type="dxa"/>
            <w:vAlign w:val="center"/>
          </w:tcPr>
          <w:p w14:paraId="19E35000">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5</w:t>
            </w:r>
          </w:p>
        </w:tc>
        <w:tc>
          <w:tcPr>
            <w:tcW w:w="1180" w:type="dxa"/>
            <w:vAlign w:val="center"/>
          </w:tcPr>
          <w:p w14:paraId="4080C80C">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color w:val="000000" w:themeColor="text1"/>
                <w:sz w:val="24"/>
                <w:szCs w:val="24"/>
                <w14:textFill>
                  <w14:solidFill>
                    <w14:schemeClr w14:val="tx1"/>
                  </w14:solidFill>
                </w14:textFill>
              </w:rPr>
              <w:t>安全生产应急预案编制和应急救援演练</w:t>
            </w:r>
          </w:p>
        </w:tc>
        <w:tc>
          <w:tcPr>
            <w:tcW w:w="3758" w:type="dxa"/>
            <w:vAlign w:val="center"/>
          </w:tcPr>
          <w:p w14:paraId="2787491B">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依据本文件附件2《建筑工地消防演练和应急疏散预案》，协助企业编制综合应急预案或专项应急预案，并组织进行现场演练，并提供相关演练物资和技术服务；</w:t>
            </w:r>
          </w:p>
          <w:p w14:paraId="0C0C54FF">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具体要求：每个项目每次演练时长2-4小时，参演人员30-50人。</w:t>
            </w:r>
          </w:p>
        </w:tc>
        <w:tc>
          <w:tcPr>
            <w:tcW w:w="2837" w:type="dxa"/>
            <w:vAlign w:val="center"/>
          </w:tcPr>
          <w:p w14:paraId="5025795A">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服务费用</w:t>
            </w:r>
            <w:r>
              <w:rPr>
                <w:rFonts w:hint="eastAsia" w:asciiTheme="minorEastAsia" w:hAnsiTheme="minorEastAsia" w:eastAsiaTheme="minorEastAsia" w:cstheme="minorEastAsia"/>
                <w:b w:val="0"/>
                <w:bCs/>
                <w:sz w:val="24"/>
                <w:szCs w:val="20"/>
                <w:u w:val="single"/>
              </w:rPr>
              <w:t xml:space="preserve">      </w:t>
            </w:r>
            <w:r>
              <w:rPr>
                <w:rFonts w:hint="eastAsia" w:asciiTheme="minorEastAsia" w:hAnsiTheme="minorEastAsia" w:eastAsiaTheme="minorEastAsia" w:cstheme="minorEastAsia"/>
                <w:b w:val="0"/>
                <w:bCs/>
                <w:sz w:val="24"/>
                <w:szCs w:val="20"/>
              </w:rPr>
              <w:t>元/次。</w:t>
            </w:r>
          </w:p>
        </w:tc>
      </w:tr>
      <w:tr w14:paraId="28AC7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2" w:hRule="atLeast"/>
        </w:trPr>
        <w:tc>
          <w:tcPr>
            <w:tcW w:w="520" w:type="dxa"/>
            <w:vAlign w:val="center"/>
          </w:tcPr>
          <w:p w14:paraId="3B68763E">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6</w:t>
            </w:r>
          </w:p>
        </w:tc>
        <w:tc>
          <w:tcPr>
            <w:tcW w:w="1180" w:type="dxa"/>
            <w:vAlign w:val="center"/>
          </w:tcPr>
          <w:p w14:paraId="318D0895">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color w:val="000000" w:themeColor="text1"/>
                <w:sz w:val="24"/>
                <w:szCs w:val="24"/>
                <w14:textFill>
                  <w14:solidFill>
                    <w14:schemeClr w14:val="tx1"/>
                  </w14:solidFill>
                </w14:textFill>
              </w:rPr>
              <w:t>安全生产科技创新、装备研发推广应用</w:t>
            </w:r>
          </w:p>
        </w:tc>
        <w:tc>
          <w:tcPr>
            <w:tcW w:w="3758" w:type="dxa"/>
            <w:vAlign w:val="center"/>
          </w:tcPr>
          <w:p w14:paraId="0A8F10BA">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根据相关要求，积极配合企业推广，为企业提供相关咨询服务工作。</w:t>
            </w:r>
          </w:p>
          <w:p w14:paraId="2D8165D2">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每个项目每次咨询服务时长不少于2小时，服务人员数量不少于1人。</w:t>
            </w:r>
          </w:p>
        </w:tc>
        <w:tc>
          <w:tcPr>
            <w:tcW w:w="2837" w:type="dxa"/>
            <w:vAlign w:val="center"/>
          </w:tcPr>
          <w:p w14:paraId="582BF03F">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服务费用</w:t>
            </w:r>
            <w:r>
              <w:rPr>
                <w:rFonts w:hint="eastAsia" w:asciiTheme="minorEastAsia" w:hAnsiTheme="minorEastAsia" w:eastAsiaTheme="minorEastAsia" w:cstheme="minorEastAsia"/>
                <w:b w:val="0"/>
                <w:bCs/>
                <w:sz w:val="24"/>
                <w:szCs w:val="20"/>
                <w:u w:val="single"/>
              </w:rPr>
              <w:t xml:space="preserve">      </w:t>
            </w:r>
            <w:r>
              <w:rPr>
                <w:rFonts w:hint="eastAsia" w:asciiTheme="minorEastAsia" w:hAnsiTheme="minorEastAsia" w:eastAsiaTheme="minorEastAsia" w:cstheme="minorEastAsia"/>
                <w:b w:val="0"/>
                <w:bCs/>
                <w:sz w:val="24"/>
                <w:szCs w:val="20"/>
              </w:rPr>
              <w:t>元/次。</w:t>
            </w:r>
          </w:p>
        </w:tc>
      </w:tr>
      <w:tr w14:paraId="0D2B3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520" w:type="dxa"/>
            <w:vAlign w:val="center"/>
          </w:tcPr>
          <w:p w14:paraId="7C012255">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7</w:t>
            </w:r>
          </w:p>
        </w:tc>
        <w:tc>
          <w:tcPr>
            <w:tcW w:w="1180" w:type="dxa"/>
            <w:vAlign w:val="center"/>
          </w:tcPr>
          <w:p w14:paraId="528F2026">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color w:val="000000" w:themeColor="text1"/>
                <w:sz w:val="24"/>
                <w:szCs w:val="24"/>
                <w14:textFill>
                  <w14:solidFill>
                    <w14:schemeClr w14:val="tx1"/>
                  </w14:solidFill>
                </w14:textFill>
              </w:rPr>
              <w:t>其他有关事故预防工作</w:t>
            </w:r>
          </w:p>
        </w:tc>
        <w:tc>
          <w:tcPr>
            <w:tcW w:w="6595" w:type="dxa"/>
            <w:gridSpan w:val="2"/>
            <w:vAlign w:val="center"/>
          </w:tcPr>
          <w:p w14:paraId="57D122A7">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此项不进行报价</w:t>
            </w:r>
          </w:p>
        </w:tc>
      </w:tr>
    </w:tbl>
    <w:p w14:paraId="4E61FF8B">
      <w:pPr>
        <w:spacing w:before="120" w:after="120"/>
        <w:rPr>
          <w:rFonts w:hint="eastAsia" w:asciiTheme="minorEastAsia" w:hAnsiTheme="minorEastAsia" w:cstheme="minorEastAsia"/>
          <w:b/>
          <w:color w:val="000000" w:themeColor="text1"/>
          <w:sz w:val="30"/>
          <w14:textFill>
            <w14:solidFill>
              <w14:schemeClr w14:val="tx1"/>
            </w14:solidFill>
          </w14:textFill>
        </w:rPr>
      </w:pPr>
    </w:p>
    <w:p w14:paraId="2095657E">
      <w:pPr>
        <w:spacing w:before="120" w:after="120"/>
        <w:rPr>
          <w:rFonts w:hint="eastAsia" w:asciiTheme="minorEastAsia" w:hAnsiTheme="minorEastAsia" w:cstheme="minorEastAsia"/>
          <w:b/>
          <w:color w:val="000000" w:themeColor="text1"/>
          <w:sz w:val="24"/>
          <w:szCs w:val="20"/>
          <w14:textFill>
            <w14:solidFill>
              <w14:schemeClr w14:val="tx1"/>
            </w14:solidFill>
          </w14:textFill>
        </w:rPr>
      </w:pPr>
      <w:r>
        <w:rPr>
          <w:rFonts w:hint="eastAsia" w:asciiTheme="minorEastAsia" w:hAnsiTheme="minorEastAsia" w:cstheme="minorEastAsia"/>
          <w:b/>
          <w:color w:val="000000" w:themeColor="text1"/>
          <w:sz w:val="24"/>
          <w:szCs w:val="20"/>
          <w14:textFill>
            <w14:solidFill>
              <w14:schemeClr w14:val="tx1"/>
            </w14:solidFill>
          </w14:textFill>
        </w:rPr>
        <w:t>二、技术服务部分（投标人根据自身情况按照顺序添加相关材料）</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0"/>
        <w:gridCol w:w="1180"/>
        <w:gridCol w:w="3980"/>
        <w:gridCol w:w="2432"/>
      </w:tblGrid>
      <w:tr w14:paraId="613BB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exact"/>
        </w:trPr>
        <w:tc>
          <w:tcPr>
            <w:tcW w:w="520" w:type="dxa"/>
            <w:vAlign w:val="center"/>
          </w:tcPr>
          <w:p w14:paraId="1E635F21">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序号</w:t>
            </w:r>
          </w:p>
        </w:tc>
        <w:tc>
          <w:tcPr>
            <w:tcW w:w="1180" w:type="dxa"/>
            <w:vAlign w:val="center"/>
          </w:tcPr>
          <w:p w14:paraId="65452BFC">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服务内容</w:t>
            </w:r>
          </w:p>
        </w:tc>
        <w:tc>
          <w:tcPr>
            <w:tcW w:w="3980" w:type="dxa"/>
            <w:vAlign w:val="center"/>
          </w:tcPr>
          <w:p w14:paraId="29B548D3">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服务要求</w:t>
            </w:r>
          </w:p>
        </w:tc>
        <w:tc>
          <w:tcPr>
            <w:tcW w:w="2432" w:type="dxa"/>
            <w:vAlign w:val="center"/>
          </w:tcPr>
          <w:p w14:paraId="2AB79E2C">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得分标准</w:t>
            </w:r>
          </w:p>
        </w:tc>
      </w:tr>
      <w:tr w14:paraId="5BA14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4" w:hRule="exact"/>
        </w:trPr>
        <w:tc>
          <w:tcPr>
            <w:tcW w:w="520" w:type="dxa"/>
            <w:vAlign w:val="center"/>
          </w:tcPr>
          <w:p w14:paraId="4AF9C331">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1</w:t>
            </w:r>
          </w:p>
        </w:tc>
        <w:tc>
          <w:tcPr>
            <w:tcW w:w="1180" w:type="dxa"/>
            <w:vAlign w:val="center"/>
          </w:tcPr>
          <w:p w14:paraId="6AC217C6">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服务团队</w:t>
            </w:r>
          </w:p>
        </w:tc>
        <w:tc>
          <w:tcPr>
            <w:tcW w:w="3980" w:type="dxa"/>
            <w:vAlign w:val="center"/>
          </w:tcPr>
          <w:p w14:paraId="3316F321">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为此次采购提供服务的团队，若中标，后续均由该团队人员进行服务。</w:t>
            </w:r>
          </w:p>
          <w:p w14:paraId="1279F78E">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服务专家均要求为宣城市安全专家库的专家或安徽省及省级以上安全专家库的专家，提供专家的身份证明、资质证书。</w:t>
            </w:r>
          </w:p>
        </w:tc>
        <w:tc>
          <w:tcPr>
            <w:tcW w:w="2432" w:type="dxa"/>
            <w:vAlign w:val="center"/>
          </w:tcPr>
          <w:p w14:paraId="6C1ACFC2">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专家数少于5人不得分，超过5人（含）的，每名专家得2分。此项最高得10分。</w:t>
            </w:r>
          </w:p>
        </w:tc>
      </w:tr>
      <w:tr w14:paraId="341A1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3" w:hRule="exact"/>
        </w:trPr>
        <w:tc>
          <w:tcPr>
            <w:tcW w:w="520" w:type="dxa"/>
            <w:vAlign w:val="center"/>
          </w:tcPr>
          <w:p w14:paraId="557F3002">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2</w:t>
            </w:r>
          </w:p>
        </w:tc>
        <w:tc>
          <w:tcPr>
            <w:tcW w:w="1180" w:type="dxa"/>
            <w:vAlign w:val="center"/>
          </w:tcPr>
          <w:p w14:paraId="0B619F56">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安全生产标准化技术服务业绩</w:t>
            </w:r>
          </w:p>
        </w:tc>
        <w:tc>
          <w:tcPr>
            <w:tcW w:w="3980" w:type="dxa"/>
            <w:vAlign w:val="center"/>
          </w:tcPr>
          <w:p w14:paraId="3B2A5B38">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提供相关业绩证明。</w:t>
            </w:r>
          </w:p>
        </w:tc>
        <w:tc>
          <w:tcPr>
            <w:tcW w:w="2432" w:type="dxa"/>
            <w:vAlign w:val="center"/>
          </w:tcPr>
          <w:p w14:paraId="62FA36ED">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每提供一项业绩证明得5分，此项最高得10分。</w:t>
            </w:r>
          </w:p>
        </w:tc>
      </w:tr>
      <w:tr w14:paraId="7752D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9" w:hRule="exact"/>
        </w:trPr>
        <w:tc>
          <w:tcPr>
            <w:tcW w:w="520" w:type="dxa"/>
            <w:vAlign w:val="center"/>
          </w:tcPr>
          <w:p w14:paraId="68B7003F">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3</w:t>
            </w:r>
          </w:p>
        </w:tc>
        <w:tc>
          <w:tcPr>
            <w:tcW w:w="1180" w:type="dxa"/>
            <w:vAlign w:val="center"/>
          </w:tcPr>
          <w:p w14:paraId="4F91694C">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生产安全重大事故隐患排查服务业绩</w:t>
            </w:r>
          </w:p>
        </w:tc>
        <w:tc>
          <w:tcPr>
            <w:tcW w:w="3980" w:type="dxa"/>
            <w:vAlign w:val="center"/>
          </w:tcPr>
          <w:p w14:paraId="18815E7B">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提供相关业绩证明。</w:t>
            </w:r>
          </w:p>
        </w:tc>
        <w:tc>
          <w:tcPr>
            <w:tcW w:w="2432" w:type="dxa"/>
            <w:vAlign w:val="center"/>
          </w:tcPr>
          <w:p w14:paraId="36124E4E">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每提供一项业绩证明得5分，此项最高得10分。</w:t>
            </w:r>
          </w:p>
        </w:tc>
      </w:tr>
      <w:tr w14:paraId="677C4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4" w:hRule="exact"/>
        </w:trPr>
        <w:tc>
          <w:tcPr>
            <w:tcW w:w="520" w:type="dxa"/>
            <w:vAlign w:val="center"/>
          </w:tcPr>
          <w:p w14:paraId="3F9A651A">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4</w:t>
            </w:r>
          </w:p>
        </w:tc>
        <w:tc>
          <w:tcPr>
            <w:tcW w:w="1180" w:type="dxa"/>
            <w:vAlign w:val="center"/>
          </w:tcPr>
          <w:p w14:paraId="21255D1B">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安全生产应急预案编制和应急救援演练技术服务业绩</w:t>
            </w:r>
          </w:p>
        </w:tc>
        <w:tc>
          <w:tcPr>
            <w:tcW w:w="3980" w:type="dxa"/>
            <w:vAlign w:val="center"/>
          </w:tcPr>
          <w:p w14:paraId="3171934D">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提供相关业绩证明。</w:t>
            </w:r>
          </w:p>
        </w:tc>
        <w:tc>
          <w:tcPr>
            <w:tcW w:w="2432" w:type="dxa"/>
            <w:vAlign w:val="center"/>
          </w:tcPr>
          <w:p w14:paraId="6D2CB72E">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每提供一项业绩证明得5分，此项最高得10分。</w:t>
            </w:r>
          </w:p>
        </w:tc>
      </w:tr>
      <w:tr w14:paraId="60D20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1" w:hRule="exact"/>
        </w:trPr>
        <w:tc>
          <w:tcPr>
            <w:tcW w:w="520" w:type="dxa"/>
            <w:vAlign w:val="center"/>
          </w:tcPr>
          <w:p w14:paraId="24DAFAD6">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5</w:t>
            </w:r>
          </w:p>
        </w:tc>
        <w:tc>
          <w:tcPr>
            <w:tcW w:w="1180" w:type="dxa"/>
            <w:vAlign w:val="center"/>
          </w:tcPr>
          <w:p w14:paraId="7FD59C89">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color w:val="000000" w:themeColor="text1"/>
                <w:sz w:val="24"/>
                <w:szCs w:val="24"/>
                <w14:textFill>
                  <w14:solidFill>
                    <w14:schemeClr w14:val="tx1"/>
                  </w14:solidFill>
                </w14:textFill>
              </w:rPr>
              <w:t>安全生产科技创新、装备研发推广应用</w:t>
            </w:r>
          </w:p>
        </w:tc>
        <w:tc>
          <w:tcPr>
            <w:tcW w:w="3980" w:type="dxa"/>
            <w:vAlign w:val="center"/>
          </w:tcPr>
          <w:p w14:paraId="40E327D5">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提供相关业绩证明。</w:t>
            </w:r>
          </w:p>
        </w:tc>
        <w:tc>
          <w:tcPr>
            <w:tcW w:w="2432" w:type="dxa"/>
            <w:vAlign w:val="center"/>
          </w:tcPr>
          <w:p w14:paraId="657BFE27">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每提供一项业绩证明得5分，此项最高得10分。</w:t>
            </w:r>
          </w:p>
        </w:tc>
      </w:tr>
      <w:tr w14:paraId="7ED36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6" w:hRule="exact"/>
        </w:trPr>
        <w:tc>
          <w:tcPr>
            <w:tcW w:w="520" w:type="dxa"/>
            <w:vAlign w:val="center"/>
          </w:tcPr>
          <w:p w14:paraId="756E7081">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6</w:t>
            </w:r>
          </w:p>
        </w:tc>
        <w:tc>
          <w:tcPr>
            <w:tcW w:w="1180" w:type="dxa"/>
            <w:vAlign w:val="center"/>
          </w:tcPr>
          <w:p w14:paraId="28DEF269">
            <w:pPr>
              <w:pStyle w:val="2"/>
              <w:jc w:val="both"/>
              <w:rPr>
                <w:rFonts w:hint="eastAsia" w:asciiTheme="minorEastAsia" w:hAnsiTheme="minorEastAsia" w:eastAsiaTheme="minorEastAsia" w:cstheme="minorEastAsia"/>
                <w:b w:val="0"/>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val="0"/>
                <w:bCs/>
                <w:color w:val="000000" w:themeColor="text1"/>
                <w:sz w:val="24"/>
                <w:szCs w:val="24"/>
                <w14:textFill>
                  <w14:solidFill>
                    <w14:schemeClr w14:val="tx1"/>
                  </w14:solidFill>
                </w14:textFill>
              </w:rPr>
              <w:t>技术服务方案</w:t>
            </w:r>
          </w:p>
        </w:tc>
        <w:tc>
          <w:tcPr>
            <w:tcW w:w="3980" w:type="dxa"/>
            <w:vAlign w:val="center"/>
          </w:tcPr>
          <w:p w14:paraId="0C066F34">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编制专业技术服务方案。</w:t>
            </w:r>
          </w:p>
        </w:tc>
        <w:tc>
          <w:tcPr>
            <w:tcW w:w="2432" w:type="dxa"/>
            <w:vAlign w:val="center"/>
          </w:tcPr>
          <w:p w14:paraId="6DE4D52F">
            <w:pPr>
              <w:pStyle w:val="2"/>
              <w:jc w:val="both"/>
              <w:rPr>
                <w:rFonts w:hint="eastAsia" w:asciiTheme="minorEastAsia" w:hAnsiTheme="minorEastAsia" w:eastAsiaTheme="minorEastAsia" w:cstheme="minorEastAsia"/>
                <w:b w:val="0"/>
                <w:bCs/>
                <w:sz w:val="24"/>
                <w:szCs w:val="20"/>
              </w:rPr>
            </w:pPr>
            <w:r>
              <w:rPr>
                <w:rFonts w:hint="eastAsia" w:asciiTheme="minorEastAsia" w:hAnsiTheme="minorEastAsia" w:eastAsiaTheme="minorEastAsia" w:cstheme="minorEastAsia"/>
                <w:b w:val="0"/>
                <w:bCs/>
                <w:sz w:val="24"/>
                <w:szCs w:val="20"/>
              </w:rPr>
              <w:t>方案评价等级分优秀（得分10分）、良好（得分7分）、合格（得分5分）、不合格（0分）。</w:t>
            </w:r>
          </w:p>
        </w:tc>
      </w:tr>
    </w:tbl>
    <w:p w14:paraId="10386E2E">
      <w:pPr>
        <w:rPr>
          <w:rFonts w:hint="eastAsia" w:ascii="宋体" w:hAnsi="宋体" w:eastAsia="宋体" w:cs="Times New Roman"/>
          <w:b/>
          <w:color w:val="000000" w:themeColor="text1"/>
          <w:kern w:val="2"/>
          <w:sz w:val="24"/>
          <w14:textFill>
            <w14:solidFill>
              <w14:schemeClr w14:val="tx1"/>
            </w14:solidFill>
          </w14:textFill>
        </w:rPr>
      </w:pPr>
    </w:p>
    <w:p w14:paraId="5FE79CB9">
      <w:pPr>
        <w:rPr>
          <w:rFonts w:hint="eastAsia" w:ascii="宋体" w:hAnsi="宋体" w:eastAsia="宋体" w:cs="Times New Roman"/>
          <w:b/>
          <w:color w:val="000000" w:themeColor="text1"/>
          <w:kern w:val="2"/>
          <w:sz w:val="24"/>
          <w14:textFill>
            <w14:solidFill>
              <w14:schemeClr w14:val="tx1"/>
            </w14:solidFill>
          </w14:textFill>
        </w:rPr>
      </w:pPr>
    </w:p>
    <w:p w14:paraId="53744005">
      <w:pPr>
        <w:rPr>
          <w:rFonts w:hint="eastAsia" w:ascii="宋体" w:hAnsi="宋体" w:eastAsia="宋体" w:cs="Times New Roman"/>
          <w:b/>
          <w:color w:val="000000" w:themeColor="text1"/>
          <w:kern w:val="2"/>
          <w:sz w:val="24"/>
          <w14:textFill>
            <w14:solidFill>
              <w14:schemeClr w14:val="tx1"/>
            </w14:solidFill>
          </w14:textFill>
        </w:rPr>
      </w:pPr>
    </w:p>
    <w:p w14:paraId="2DC8DF5A">
      <w:pPr>
        <w:rPr>
          <w:rFonts w:hint="eastAsia" w:ascii="宋体" w:hAnsi="宋体" w:eastAsia="宋体" w:cs="Times New Roman"/>
          <w:b/>
          <w:color w:val="000000" w:themeColor="text1"/>
          <w:kern w:val="2"/>
          <w:sz w:val="24"/>
          <w14:textFill>
            <w14:solidFill>
              <w14:schemeClr w14:val="tx1"/>
            </w14:solidFill>
          </w14:textFill>
        </w:rPr>
      </w:pPr>
      <w:r>
        <w:rPr>
          <w:rFonts w:hint="eastAsia" w:ascii="宋体" w:hAnsi="宋体" w:eastAsia="宋体" w:cs="Times New Roman"/>
          <w:b/>
          <w:color w:val="000000" w:themeColor="text1"/>
          <w:kern w:val="2"/>
          <w:sz w:val="24"/>
          <w14:textFill>
            <w14:solidFill>
              <w14:schemeClr w14:val="tx1"/>
            </w14:solidFill>
          </w14:textFill>
        </w:rPr>
        <w:t xml:space="preserve">   </w:t>
      </w:r>
    </w:p>
    <w:p w14:paraId="0E2D49E1">
      <w:pPr>
        <w:rPr>
          <w:rFonts w:hint="eastAsia" w:ascii="宋体" w:hAnsi="宋体" w:eastAsia="宋体" w:cs="Times New Roman"/>
          <w:b/>
          <w:color w:val="000000" w:themeColor="text1"/>
          <w:kern w:val="2"/>
          <w:sz w:val="24"/>
          <w14:textFill>
            <w14:solidFill>
              <w14:schemeClr w14:val="tx1"/>
            </w14:solidFill>
          </w14:textFill>
        </w:rPr>
      </w:pPr>
      <w:r>
        <w:rPr>
          <w:rFonts w:hint="eastAsia" w:ascii="宋体" w:hAnsi="宋体" w:eastAsia="宋体" w:cs="Times New Roman"/>
          <w:b/>
          <w:color w:val="000000" w:themeColor="text1"/>
          <w:kern w:val="2"/>
          <w:sz w:val="24"/>
          <w14:textFill>
            <w14:solidFill>
              <w14:schemeClr w14:val="tx1"/>
            </w14:solidFill>
          </w14:textFill>
        </w:rPr>
        <w:t xml:space="preserve">        </w:t>
      </w:r>
    </w:p>
    <w:p w14:paraId="7A77E978">
      <w:pPr>
        <w:rPr>
          <w:rFonts w:hint="eastAsia" w:ascii="宋体" w:hAnsi="宋体" w:eastAsia="宋体" w:cs="Times New Roman"/>
          <w:b/>
          <w:color w:val="000000" w:themeColor="text1"/>
          <w:kern w:val="2"/>
          <w:sz w:val="24"/>
          <w14:textFill>
            <w14:solidFill>
              <w14:schemeClr w14:val="tx1"/>
            </w14:solidFill>
          </w14:textFill>
        </w:rPr>
      </w:pPr>
    </w:p>
    <w:p w14:paraId="65448B4A">
      <w:pPr>
        <w:rPr>
          <w:rFonts w:hint="eastAsia" w:ascii="宋体" w:hAnsi="宋体" w:eastAsia="宋体" w:cs="Times New Roman"/>
          <w:b/>
          <w:color w:val="000000" w:themeColor="text1"/>
          <w:kern w:val="2"/>
          <w:sz w:val="24"/>
          <w14:textFill>
            <w14:solidFill>
              <w14:schemeClr w14:val="tx1"/>
            </w14:solidFill>
          </w14:textFill>
        </w:rPr>
      </w:pPr>
    </w:p>
    <w:p w14:paraId="11A088E7">
      <w:pPr>
        <w:rPr>
          <w:rFonts w:hint="eastAsia" w:ascii="宋体" w:hAnsi="宋体" w:cs="Times New Roman"/>
          <w:b/>
          <w:color w:val="000000" w:themeColor="text1"/>
          <w:kern w:val="2"/>
          <w:sz w:val="24"/>
          <w14:textFill>
            <w14:solidFill>
              <w14:schemeClr w14:val="tx1"/>
            </w14:solidFill>
          </w14:textFill>
        </w:rPr>
      </w:pPr>
      <w:r>
        <w:rPr>
          <w:rFonts w:hint="eastAsia" w:ascii="宋体" w:hAnsi="宋体" w:eastAsia="宋体" w:cs="Times New Roman"/>
          <w:b/>
          <w:color w:val="000000" w:themeColor="text1"/>
          <w:kern w:val="2"/>
          <w:sz w:val="28"/>
          <w:szCs w:val="24"/>
          <w14:textFill>
            <w14:solidFill>
              <w14:schemeClr w14:val="tx1"/>
            </w14:solidFill>
          </w14:textFill>
        </w:rPr>
        <w:br w:type="page"/>
      </w:r>
      <w:r>
        <w:rPr>
          <w:rFonts w:hint="eastAsia" w:ascii="宋体" w:hAnsi="宋体" w:cs="Times New Roman"/>
          <w:b/>
          <w:color w:val="000000" w:themeColor="text1"/>
          <w:kern w:val="2"/>
          <w:sz w:val="28"/>
          <w:szCs w:val="24"/>
          <w14:textFill>
            <w14:solidFill>
              <w14:schemeClr w14:val="tx1"/>
            </w14:solidFill>
          </w14:textFill>
        </w:rPr>
        <w:t>四</w:t>
      </w:r>
      <w:r>
        <w:rPr>
          <w:rFonts w:hint="eastAsia" w:ascii="宋体" w:hAnsi="宋体" w:eastAsia="宋体" w:cs="Times New Roman"/>
          <w:b/>
          <w:color w:val="000000" w:themeColor="text1"/>
          <w:kern w:val="2"/>
          <w:sz w:val="28"/>
          <w:szCs w:val="24"/>
          <w14:textFill>
            <w14:solidFill>
              <w14:schemeClr w14:val="tx1"/>
            </w14:solidFill>
          </w14:textFill>
        </w:rPr>
        <w:t>、</w:t>
      </w:r>
      <w:r>
        <w:rPr>
          <w:rFonts w:hint="eastAsia" w:ascii="宋体" w:hAnsi="宋体" w:cs="Times New Roman"/>
          <w:b/>
          <w:color w:val="000000" w:themeColor="text1"/>
          <w:kern w:val="2"/>
          <w:sz w:val="28"/>
          <w:szCs w:val="24"/>
          <w14:textFill>
            <w14:solidFill>
              <w14:schemeClr w14:val="tx1"/>
            </w14:solidFill>
          </w14:textFill>
        </w:rPr>
        <w:t>报价承诺函</w:t>
      </w:r>
    </w:p>
    <w:p w14:paraId="56B0B26D">
      <w:pPr>
        <w:rPr>
          <w:rFonts w:hint="eastAsia" w:ascii="宋体" w:hAnsi="宋体" w:cs="Times New Roman"/>
          <w:bCs/>
          <w:color w:val="000000" w:themeColor="text1"/>
          <w:kern w:val="2"/>
          <w:sz w:val="24"/>
          <w14:textFill>
            <w14:solidFill>
              <w14:schemeClr w14:val="tx1"/>
            </w14:solidFill>
          </w14:textFill>
        </w:rPr>
      </w:pPr>
    </w:p>
    <w:p w14:paraId="6884DB06">
      <w:pPr>
        <w:spacing w:line="360" w:lineRule="auto"/>
        <w:rPr>
          <w:rFonts w:hint="eastAsia" w:ascii="宋体" w:hAnsi="宋体" w:cs="宋体"/>
          <w:color w:val="000000" w:themeColor="text1"/>
          <w:sz w:val="23"/>
          <w:szCs w:val="23"/>
          <w:u w:val="single"/>
          <w14:textFill>
            <w14:solidFill>
              <w14:schemeClr w14:val="tx1"/>
            </w14:solidFill>
          </w14:textFill>
        </w:rPr>
      </w:pPr>
      <w:r>
        <w:rPr>
          <w:rFonts w:hint="eastAsia" w:ascii="宋体" w:hAnsi="宋体" w:cs="宋体"/>
          <w:color w:val="000000" w:themeColor="text1"/>
          <w:sz w:val="23"/>
          <w:szCs w:val="23"/>
          <w:u w:val="single"/>
          <w14:textFill>
            <w14:solidFill>
              <w14:schemeClr w14:val="tx1"/>
            </w14:solidFill>
          </w14:textFill>
        </w:rPr>
        <w:t>郎溪县建设工程监理协会、安徽国元保险经纪股份有限公司宣城分公司、</w:t>
      </w:r>
    </w:p>
    <w:p w14:paraId="53B9D564">
      <w:pPr>
        <w:spacing w:line="360" w:lineRule="auto"/>
        <w:rPr>
          <w:rFonts w:hint="eastAsia" w:ascii="宋体" w:hAnsi="宋体" w:cs="Times New Roman"/>
          <w:bCs/>
          <w:color w:val="000000" w:themeColor="text1"/>
          <w:kern w:val="2"/>
          <w:sz w:val="24"/>
          <w14:textFill>
            <w14:solidFill>
              <w14:schemeClr w14:val="tx1"/>
            </w14:solidFill>
          </w14:textFill>
        </w:rPr>
      </w:pPr>
      <w:r>
        <w:rPr>
          <w:rFonts w:hint="eastAsia" w:ascii="宋体" w:hAnsi="宋体" w:cs="宋体"/>
          <w:color w:val="000000" w:themeColor="text1"/>
          <w:sz w:val="23"/>
          <w:szCs w:val="23"/>
          <w:u w:val="single"/>
          <w14:textFill>
            <w14:solidFill>
              <w14:schemeClr w14:val="tx1"/>
            </w14:solidFill>
          </w14:textFill>
        </w:rPr>
        <w:t>中国人民财产保险股份有限公司宣城市分公司、国元农业保险股份有限公司宣城中心支公司、中国人寿财产保险股份有限公司宣城市中心支公司和申能财产保险股份有限公司宣城中心支公司：</w:t>
      </w:r>
      <w:r>
        <w:rPr>
          <w:rFonts w:hint="eastAsia" w:ascii="宋体" w:hAnsi="宋体" w:cs="Times New Roman"/>
          <w:bCs/>
          <w:color w:val="000000" w:themeColor="text1"/>
          <w:kern w:val="2"/>
          <w:sz w:val="24"/>
          <w14:textFill>
            <w14:solidFill>
              <w14:schemeClr w14:val="tx1"/>
            </w14:solidFill>
          </w14:textFill>
        </w:rPr>
        <w:t>：</w:t>
      </w:r>
    </w:p>
    <w:p w14:paraId="2A1B26F5">
      <w:pPr>
        <w:spacing w:line="360" w:lineRule="auto"/>
        <w:ind w:firstLine="480" w:firstLineChars="200"/>
        <w:rPr>
          <w:rFonts w:hint="eastAsia" w:ascii="宋体" w:hAnsi="宋体" w:cs="Times New Roman"/>
          <w:bCs/>
          <w:color w:val="000000" w:themeColor="text1"/>
          <w:kern w:val="2"/>
          <w:sz w:val="24"/>
          <w14:textFill>
            <w14:solidFill>
              <w14:schemeClr w14:val="tx1"/>
            </w14:solidFill>
          </w14:textFill>
        </w:rPr>
      </w:pPr>
    </w:p>
    <w:p w14:paraId="1B3C3658">
      <w:pPr>
        <w:spacing w:line="360" w:lineRule="auto"/>
        <w:ind w:firstLine="480" w:firstLineChars="200"/>
        <w:rPr>
          <w:rFonts w:hint="eastAsia" w:ascii="宋体" w:hAnsi="宋体" w:cs="Times New Roman"/>
          <w:bCs/>
          <w:color w:val="000000" w:themeColor="text1"/>
          <w:kern w:val="2"/>
          <w:sz w:val="24"/>
          <w14:textFill>
            <w14:solidFill>
              <w14:schemeClr w14:val="tx1"/>
            </w14:solidFill>
          </w14:textFill>
        </w:rPr>
      </w:pPr>
      <w:r>
        <w:rPr>
          <w:rFonts w:hint="eastAsia" w:ascii="宋体" w:hAnsi="宋体" w:cs="Times New Roman"/>
          <w:bCs/>
          <w:color w:val="000000" w:themeColor="text1"/>
          <w:kern w:val="2"/>
          <w:sz w:val="24"/>
          <w14:textFill>
            <w14:solidFill>
              <w14:schemeClr w14:val="tx1"/>
            </w14:solidFill>
          </w14:textFill>
        </w:rPr>
        <w:t>我单位</w:t>
      </w:r>
      <w:r>
        <w:rPr>
          <w:rFonts w:hint="eastAsia" w:ascii="宋体" w:hAnsi="宋体" w:cs="Times New Roman"/>
          <w:bCs/>
          <w:color w:val="000000" w:themeColor="text1"/>
          <w:kern w:val="2"/>
          <w:sz w:val="24"/>
          <w:u w:val="single"/>
          <w14:textFill>
            <w14:solidFill>
              <w14:schemeClr w14:val="tx1"/>
            </w14:solidFill>
          </w14:textFill>
        </w:rPr>
        <w:t xml:space="preserve">               （公司全称）</w:t>
      </w:r>
      <w:r>
        <w:rPr>
          <w:rFonts w:hint="eastAsia" w:ascii="宋体" w:hAnsi="宋体" w:cs="Times New Roman"/>
          <w:bCs/>
          <w:color w:val="000000" w:themeColor="text1"/>
          <w:kern w:val="2"/>
          <w:sz w:val="24"/>
          <w14:textFill>
            <w14:solidFill>
              <w14:schemeClr w14:val="tx1"/>
            </w14:solidFill>
          </w14:textFill>
        </w:rPr>
        <w:t>自愿对</w:t>
      </w:r>
      <w:r>
        <w:rPr>
          <w:rFonts w:hint="eastAsia" w:ascii="宋体" w:hAnsi="宋体" w:cs="Times New Roman"/>
          <w:bCs/>
          <w:color w:val="000000" w:themeColor="text1"/>
          <w:kern w:val="2"/>
          <w:sz w:val="24"/>
          <w:u w:val="single"/>
          <w14:textFill>
            <w14:solidFill>
              <w14:schemeClr w14:val="tx1"/>
            </w14:solidFill>
          </w14:textFill>
        </w:rPr>
        <w:t xml:space="preserve">郎溪县建筑施工安全生产责任保险事故预防技术服务采购项目  </w:t>
      </w:r>
      <w:r>
        <w:rPr>
          <w:rFonts w:hint="eastAsia" w:ascii="宋体" w:hAnsi="宋体" w:cs="Times New Roman"/>
          <w:bCs/>
          <w:color w:val="000000" w:themeColor="text1"/>
          <w:kern w:val="2"/>
          <w:sz w:val="24"/>
          <w14:textFill>
            <w14:solidFill>
              <w14:schemeClr w14:val="tx1"/>
            </w14:solidFill>
          </w14:textFill>
        </w:rPr>
        <w:t>（项目名称）进行报价，一经作出报价，即不可撤回或修改，报价一经贵单位认可，即为签约的合同价。同时确保在接到本单位中标通知后2日内作出回复。</w:t>
      </w:r>
    </w:p>
    <w:p w14:paraId="6FFD9FB7">
      <w:pPr>
        <w:spacing w:line="360" w:lineRule="auto"/>
        <w:ind w:firstLine="480" w:firstLineChars="200"/>
        <w:rPr>
          <w:rFonts w:hint="eastAsia" w:ascii="宋体" w:hAnsi="宋体" w:cs="Times New Roman"/>
          <w:bCs/>
          <w:color w:val="000000" w:themeColor="text1"/>
          <w:kern w:val="2"/>
          <w:sz w:val="24"/>
          <w14:textFill>
            <w14:solidFill>
              <w14:schemeClr w14:val="tx1"/>
            </w14:solidFill>
          </w14:textFill>
        </w:rPr>
      </w:pPr>
      <w:r>
        <w:rPr>
          <w:rFonts w:hint="eastAsia" w:ascii="宋体" w:hAnsi="宋体" w:cs="Times New Roman"/>
          <w:bCs/>
          <w:color w:val="000000" w:themeColor="text1"/>
          <w:kern w:val="2"/>
          <w:sz w:val="24"/>
          <w14:textFill>
            <w14:solidFill>
              <w14:schemeClr w14:val="tx1"/>
            </w14:solidFill>
          </w14:textFill>
        </w:rPr>
        <w:t>特此承诺。</w:t>
      </w:r>
    </w:p>
    <w:p w14:paraId="6FE50FD6">
      <w:pPr>
        <w:spacing w:line="360" w:lineRule="auto"/>
        <w:ind w:firstLine="460" w:firstLineChars="200"/>
        <w:rPr>
          <w:rFonts w:hint="eastAsia" w:ascii="宋体" w:hAnsi="宋体" w:cs="宋体"/>
          <w:bCs/>
          <w:color w:val="000000" w:themeColor="text1"/>
          <w:sz w:val="23"/>
          <w:szCs w:val="23"/>
          <w14:textFill>
            <w14:solidFill>
              <w14:schemeClr w14:val="tx1"/>
            </w14:solidFill>
          </w14:textFill>
        </w:rPr>
      </w:pPr>
    </w:p>
    <w:p w14:paraId="419D755C">
      <w:pPr>
        <w:spacing w:line="360" w:lineRule="auto"/>
        <w:ind w:firstLine="460" w:firstLineChars="200"/>
        <w:jc w:val="right"/>
        <w:rPr>
          <w:rFonts w:hint="eastAsia" w:ascii="宋体" w:hAnsi="宋体" w:cs="Times New Roman"/>
          <w:bCs/>
          <w:color w:val="000000" w:themeColor="text1"/>
          <w:kern w:val="2"/>
          <w:sz w:val="24"/>
          <w14:textFill>
            <w14:solidFill>
              <w14:schemeClr w14:val="tx1"/>
            </w14:solidFill>
          </w14:textFill>
        </w:rPr>
      </w:pPr>
      <w:r>
        <w:rPr>
          <w:rFonts w:hint="eastAsia" w:ascii="宋体" w:hAnsi="宋体" w:cs="宋体"/>
          <w:bCs/>
          <w:color w:val="000000" w:themeColor="text1"/>
          <w:sz w:val="23"/>
          <w:szCs w:val="23"/>
          <w14:textFill>
            <w14:solidFill>
              <w14:schemeClr w14:val="tx1"/>
            </w14:solidFill>
          </w14:textFill>
        </w:rPr>
        <w:t>承诺人：</w:t>
      </w:r>
      <w:r>
        <w:rPr>
          <w:rFonts w:hint="eastAsia" w:ascii="宋体" w:hAnsi="宋体" w:cs="Times New Roman"/>
          <w:b/>
          <w:color w:val="000000" w:themeColor="text1"/>
          <w:kern w:val="2"/>
          <w:sz w:val="24"/>
          <w:u w:val="single"/>
          <w14:textFill>
            <w14:solidFill>
              <w14:schemeClr w14:val="tx1"/>
            </w14:solidFill>
          </w14:textFill>
        </w:rPr>
        <w:t xml:space="preserve">           </w:t>
      </w:r>
      <w:r>
        <w:rPr>
          <w:rFonts w:hint="eastAsia" w:ascii="宋体" w:hAnsi="宋体" w:cs="Times New Roman"/>
          <w:bCs/>
          <w:color w:val="000000" w:themeColor="text1"/>
          <w:kern w:val="2"/>
          <w:sz w:val="24"/>
          <w:u w:val="single"/>
          <w14:textFill>
            <w14:solidFill>
              <w14:schemeClr w14:val="tx1"/>
            </w14:solidFill>
          </w14:textFill>
        </w:rPr>
        <w:t xml:space="preserve">    </w:t>
      </w:r>
      <w:r>
        <w:rPr>
          <w:rFonts w:hint="eastAsia" w:ascii="宋体" w:hAnsi="宋体" w:cs="Times New Roman"/>
          <w:bCs/>
          <w:color w:val="000000" w:themeColor="text1"/>
          <w:kern w:val="2"/>
          <w:sz w:val="24"/>
          <w14:textFill>
            <w14:solidFill>
              <w14:schemeClr w14:val="tx1"/>
            </w14:solidFill>
          </w14:textFill>
        </w:rPr>
        <w:t>（公司全称）</w:t>
      </w:r>
    </w:p>
    <w:p w14:paraId="50AC248F">
      <w:pPr>
        <w:spacing w:line="360" w:lineRule="auto"/>
        <w:ind w:firstLine="480" w:firstLineChars="200"/>
        <w:jc w:val="right"/>
        <w:rPr>
          <w:rFonts w:hint="eastAsia" w:ascii="宋体" w:hAnsi="宋体" w:cs="Times New Roman"/>
          <w:b/>
          <w:color w:val="000000" w:themeColor="text1"/>
          <w:kern w:val="2"/>
          <w:sz w:val="24"/>
          <w14:textFill>
            <w14:solidFill>
              <w14:schemeClr w14:val="tx1"/>
            </w14:solidFill>
          </w14:textFill>
        </w:rPr>
      </w:pPr>
      <w:r>
        <w:rPr>
          <w:rFonts w:hint="eastAsia" w:ascii="宋体" w:hAnsi="宋体" w:cs="Times New Roman"/>
          <w:bCs/>
          <w:color w:val="000000" w:themeColor="text1"/>
          <w:kern w:val="2"/>
          <w:sz w:val="24"/>
          <w14:textFill>
            <w14:solidFill>
              <w14:schemeClr w14:val="tx1"/>
            </w14:solidFill>
          </w14:textFill>
        </w:rPr>
        <w:t>2026年   月   日</w:t>
      </w:r>
    </w:p>
    <w:p w14:paraId="77036F7E">
      <w:pPr>
        <w:rPr>
          <w:rFonts w:hint="eastAsia" w:ascii="宋体" w:hAnsi="宋体" w:cs="Times New Roman"/>
          <w:b/>
          <w:color w:val="000000" w:themeColor="text1"/>
          <w:kern w:val="2"/>
          <w:sz w:val="24"/>
          <w14:textFill>
            <w14:solidFill>
              <w14:schemeClr w14:val="tx1"/>
            </w14:solidFill>
          </w14:textFill>
        </w:rPr>
      </w:pPr>
    </w:p>
    <w:p w14:paraId="59D9240A">
      <w:pPr>
        <w:rPr>
          <w:rFonts w:hint="eastAsia" w:ascii="宋体" w:hAnsi="宋体" w:cs="Times New Roman"/>
          <w:b/>
          <w:color w:val="000000" w:themeColor="text1"/>
          <w:kern w:val="2"/>
          <w:sz w:val="24"/>
          <w14:textFill>
            <w14:solidFill>
              <w14:schemeClr w14:val="tx1"/>
            </w14:solidFill>
          </w14:textFill>
        </w:rPr>
      </w:pPr>
    </w:p>
    <w:p w14:paraId="7A4889CB">
      <w:pPr>
        <w:rPr>
          <w:rFonts w:hint="eastAsia" w:ascii="宋体" w:hAnsi="宋体" w:cs="Times New Roman"/>
          <w:b/>
          <w:color w:val="000000" w:themeColor="text1"/>
          <w:kern w:val="2"/>
          <w:sz w:val="24"/>
          <w14:textFill>
            <w14:solidFill>
              <w14:schemeClr w14:val="tx1"/>
            </w14:solidFill>
          </w14:textFill>
        </w:rPr>
      </w:pPr>
    </w:p>
    <w:p w14:paraId="4BDB1BBE">
      <w:pPr>
        <w:rPr>
          <w:rFonts w:hint="eastAsia" w:ascii="宋体" w:hAnsi="宋体" w:eastAsia="宋体" w:cs="Times New Roman"/>
          <w:b/>
          <w:color w:val="000000" w:themeColor="text1"/>
          <w:kern w:val="2"/>
          <w:sz w:val="28"/>
          <w:szCs w:val="24"/>
          <w14:textFill>
            <w14:solidFill>
              <w14:schemeClr w14:val="tx1"/>
            </w14:solidFill>
          </w14:textFill>
        </w:rPr>
      </w:pPr>
      <w:r>
        <w:rPr>
          <w:rFonts w:hint="eastAsia" w:ascii="宋体" w:hAnsi="宋体" w:cs="Times New Roman"/>
          <w:b/>
          <w:color w:val="000000" w:themeColor="text1"/>
          <w:kern w:val="2"/>
          <w:sz w:val="28"/>
          <w:szCs w:val="24"/>
          <w14:textFill>
            <w14:solidFill>
              <w14:schemeClr w14:val="tx1"/>
            </w14:solidFill>
          </w14:textFill>
        </w:rPr>
        <w:t>五、</w:t>
      </w:r>
      <w:r>
        <w:rPr>
          <w:rFonts w:hint="eastAsia" w:ascii="宋体" w:hAnsi="宋体" w:eastAsia="宋体" w:cs="Times New Roman"/>
          <w:b/>
          <w:color w:val="000000" w:themeColor="text1"/>
          <w:kern w:val="2"/>
          <w:sz w:val="28"/>
          <w:szCs w:val="24"/>
          <w14:textFill>
            <w14:solidFill>
              <w14:schemeClr w14:val="tx1"/>
            </w14:solidFill>
          </w14:textFill>
        </w:rPr>
        <w:t>营业执照</w:t>
      </w:r>
    </w:p>
    <w:p w14:paraId="2FC4308D">
      <w:pPr>
        <w:rPr>
          <w:rFonts w:hint="eastAsia" w:ascii="宋体" w:hAnsi="宋体" w:eastAsia="宋体" w:cs="Times New Roman"/>
          <w:b/>
          <w:color w:val="000000" w:themeColor="text1"/>
          <w:kern w:val="2"/>
          <w:sz w:val="28"/>
          <w:szCs w:val="24"/>
          <w14:textFill>
            <w14:solidFill>
              <w14:schemeClr w14:val="tx1"/>
            </w14:solidFill>
          </w14:textFill>
        </w:rPr>
      </w:pPr>
    </w:p>
    <w:p w14:paraId="1487539D">
      <w:pPr>
        <w:rPr>
          <w:rFonts w:hint="eastAsia" w:ascii="宋体" w:hAnsi="宋体" w:eastAsia="宋体" w:cs="Times New Roman"/>
          <w:b/>
          <w:color w:val="000000" w:themeColor="text1"/>
          <w:kern w:val="2"/>
          <w:sz w:val="28"/>
          <w:szCs w:val="24"/>
          <w14:textFill>
            <w14:solidFill>
              <w14:schemeClr w14:val="tx1"/>
            </w14:solidFill>
          </w14:textFill>
        </w:rPr>
      </w:pPr>
    </w:p>
    <w:p w14:paraId="269F5EF7">
      <w:pPr>
        <w:rPr>
          <w:rFonts w:hint="eastAsia" w:ascii="宋体" w:hAnsi="宋体" w:eastAsia="宋体" w:cs="Times New Roman"/>
          <w:b/>
          <w:color w:val="000000" w:themeColor="text1"/>
          <w:kern w:val="2"/>
          <w:sz w:val="28"/>
          <w:szCs w:val="24"/>
          <w14:textFill>
            <w14:solidFill>
              <w14:schemeClr w14:val="tx1"/>
            </w14:solidFill>
          </w14:textFill>
        </w:rPr>
      </w:pPr>
    </w:p>
    <w:p w14:paraId="4B0AF4A9">
      <w:pPr>
        <w:rPr>
          <w:rFonts w:hint="eastAsia" w:ascii="宋体" w:hAnsi="宋体" w:eastAsia="宋体" w:cs="Times New Roman"/>
          <w:b/>
          <w:color w:val="000000" w:themeColor="text1"/>
          <w:kern w:val="2"/>
          <w:sz w:val="28"/>
          <w:szCs w:val="24"/>
          <w14:textFill>
            <w14:solidFill>
              <w14:schemeClr w14:val="tx1"/>
            </w14:solidFill>
          </w14:textFill>
        </w:rPr>
      </w:pPr>
      <w:r>
        <w:rPr>
          <w:rFonts w:hint="eastAsia" w:ascii="宋体" w:hAnsi="宋体" w:cs="Times New Roman"/>
          <w:b/>
          <w:color w:val="000000" w:themeColor="text1"/>
          <w:kern w:val="2"/>
          <w:sz w:val="28"/>
          <w:szCs w:val="24"/>
          <w14:textFill>
            <w14:solidFill>
              <w14:schemeClr w14:val="tx1"/>
            </w14:solidFill>
          </w14:textFill>
        </w:rPr>
        <w:t>六</w:t>
      </w:r>
      <w:r>
        <w:rPr>
          <w:rFonts w:hint="eastAsia" w:ascii="宋体" w:hAnsi="宋体" w:eastAsia="宋体" w:cs="Times New Roman"/>
          <w:b/>
          <w:color w:val="000000" w:themeColor="text1"/>
          <w:kern w:val="2"/>
          <w:sz w:val="28"/>
          <w:szCs w:val="24"/>
          <w14:textFill>
            <w14:solidFill>
              <w14:schemeClr w14:val="tx1"/>
            </w14:solidFill>
          </w14:textFill>
        </w:rPr>
        <w:t>、其他相关证明资料（报价人可自拟格式）</w:t>
      </w:r>
    </w:p>
    <w:p w14:paraId="7E58C371">
      <w:pPr>
        <w:rPr>
          <w:rFonts w:hint="eastAsia" w:ascii="宋体" w:hAnsi="宋体" w:eastAsia="宋体" w:cs="Times New Roman"/>
          <w:b/>
          <w:color w:val="000000" w:themeColor="text1"/>
          <w:kern w:val="2"/>
          <w:sz w:val="24"/>
          <w14:textFill>
            <w14:solidFill>
              <w14:schemeClr w14:val="tx1"/>
            </w14:solidFill>
          </w14:textFill>
        </w:rPr>
      </w:pPr>
    </w:p>
    <w:p w14:paraId="2E4ED444">
      <w:pPr>
        <w:rPr>
          <w:rFonts w:hint="eastAsia" w:ascii="宋体" w:hAnsi="宋体" w:eastAsia="宋体" w:cs="Times New Roman"/>
          <w:b/>
          <w:color w:val="000000" w:themeColor="text1"/>
          <w:kern w:val="2"/>
          <w:sz w:val="24"/>
          <w14:textFill>
            <w14:solidFill>
              <w14:schemeClr w14:val="tx1"/>
            </w14:solidFill>
          </w14:textFill>
        </w:rPr>
      </w:pPr>
    </w:p>
    <w:p w14:paraId="21320541">
      <w:pPr>
        <w:pStyle w:val="2"/>
        <w:jc w:val="both"/>
        <w:rPr>
          <w:color w:val="000000" w:themeColor="text1"/>
          <w14:textFill>
            <w14:solidFill>
              <w14:schemeClr w14:val="tx1"/>
            </w14:solidFill>
          </w14:textFill>
        </w:rPr>
      </w:pPr>
    </w:p>
    <w:sectPr>
      <w:pgSz w:w="11905" w:h="16840"/>
      <w:pgMar w:top="1440" w:right="1800" w:bottom="1440" w:left="1800" w:header="720" w:footer="720" w:gutter="0"/>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altName w:val="仿宋"/>
    <w:panose1 w:val="00000000000000000000"/>
    <w:charset w:val="86"/>
    <w:family w:val="auto"/>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隶书">
    <w:panose1 w:val="0201050906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356D2">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45C7A603">
                          <w:pPr>
                            <w:pStyle w:val="6"/>
                          </w:pPr>
                          <w:r>
                            <w:fldChar w:fldCharType="begin"/>
                          </w:r>
                          <w:r>
                            <w:instrText xml:space="preserve"> PAGE  \* MERGEFORMAT </w:instrText>
                          </w:r>
                          <w:r>
                            <w:fldChar w:fldCharType="separate"/>
                          </w:r>
                          <w:r>
                            <w:t>1</w:t>
                          </w:r>
                          <w: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GWVxmXgAQAAuwMAAA4AAAAA&#10;AAAAAQAgAAAAHgEAAGRycy9lMm9Eb2MueG1sUEsFBgAAAAAGAAYAWQEAAHAFAAAAAA==&#10;">
              <v:fill on="f" focussize="0,0"/>
              <v:stroke on="f"/>
              <v:imagedata o:title=""/>
              <o:lock v:ext="edit" aspectratio="f"/>
              <v:textbox inset="0mm,0mm,0mm,0mm" style="mso-fit-shape-to-text:t;">
                <w:txbxContent>
                  <w:p w14:paraId="45C7A603">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4E0E8">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1C33C6C">
                          <w:pPr>
                            <w:pStyle w:val="6"/>
                          </w:pPr>
                          <w:r>
                            <w:fldChar w:fldCharType="begin"/>
                          </w:r>
                          <w:r>
                            <w:instrText xml:space="preserve"> PAGE  \* MERGEFORMAT </w:instrText>
                          </w:r>
                          <w:r>
                            <w:fldChar w:fldCharType="separate"/>
                          </w:r>
                          <w:r>
                            <w:t>1</w:t>
                          </w:r>
                          <w: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GpETonXAQAAsgMAAA4AAAAAAAAAAQAgAAAA&#10;HgEAAGRycy9lMm9Eb2MueG1sUEsFBgAAAAAGAAYAWQEAAGcFAAAAAA==&#10;">
              <v:fill on="f" focussize="0,0"/>
              <v:stroke on="f"/>
              <v:imagedata o:title=""/>
              <o:lock v:ext="edit" aspectratio="f"/>
              <v:textbox inset="0mm,0mm,0mm,0mm" style="mso-fit-shape-to-text:t;">
                <w:txbxContent>
                  <w:p w14:paraId="71C33C6C">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JmYmVhMGQ2YWQwOTc0ZDFkYmVkZTE0NzFkNThlYzIifQ=="/>
  </w:docVars>
  <w:rsids>
    <w:rsidRoot w:val="00C06260"/>
    <w:rsid w:val="00047D31"/>
    <w:rsid w:val="00086DB2"/>
    <w:rsid w:val="000E090C"/>
    <w:rsid w:val="00162E5A"/>
    <w:rsid w:val="002F4D75"/>
    <w:rsid w:val="00300D0B"/>
    <w:rsid w:val="00346E9C"/>
    <w:rsid w:val="00350D8C"/>
    <w:rsid w:val="003964CB"/>
    <w:rsid w:val="00534572"/>
    <w:rsid w:val="005E6A52"/>
    <w:rsid w:val="00642D6F"/>
    <w:rsid w:val="00762604"/>
    <w:rsid w:val="00813D0B"/>
    <w:rsid w:val="0083345F"/>
    <w:rsid w:val="00974E2D"/>
    <w:rsid w:val="00976813"/>
    <w:rsid w:val="009B141D"/>
    <w:rsid w:val="00A15B4E"/>
    <w:rsid w:val="00AB6E9C"/>
    <w:rsid w:val="00AD5FCC"/>
    <w:rsid w:val="00C01CF8"/>
    <w:rsid w:val="00C06260"/>
    <w:rsid w:val="00CF5FB0"/>
    <w:rsid w:val="00E53CC5"/>
    <w:rsid w:val="00EB734D"/>
    <w:rsid w:val="00F42C54"/>
    <w:rsid w:val="00F512BA"/>
    <w:rsid w:val="00FD10DF"/>
    <w:rsid w:val="012B64AF"/>
    <w:rsid w:val="022046BD"/>
    <w:rsid w:val="025B2DC4"/>
    <w:rsid w:val="02D52B76"/>
    <w:rsid w:val="02E132C9"/>
    <w:rsid w:val="03836A76"/>
    <w:rsid w:val="03A93EC7"/>
    <w:rsid w:val="059565ED"/>
    <w:rsid w:val="06021D32"/>
    <w:rsid w:val="06436049"/>
    <w:rsid w:val="064918B1"/>
    <w:rsid w:val="0687694B"/>
    <w:rsid w:val="069B7C33"/>
    <w:rsid w:val="06F76465"/>
    <w:rsid w:val="07726BE5"/>
    <w:rsid w:val="085409E1"/>
    <w:rsid w:val="087210D1"/>
    <w:rsid w:val="09150170"/>
    <w:rsid w:val="092263E9"/>
    <w:rsid w:val="098350DA"/>
    <w:rsid w:val="09D41DD9"/>
    <w:rsid w:val="0ABA0FCF"/>
    <w:rsid w:val="0AEC7E43"/>
    <w:rsid w:val="0B0A0341"/>
    <w:rsid w:val="0C1A0C5A"/>
    <w:rsid w:val="0C3923C8"/>
    <w:rsid w:val="0C504628"/>
    <w:rsid w:val="0C796C68"/>
    <w:rsid w:val="0CAA3B2D"/>
    <w:rsid w:val="0D0E61C1"/>
    <w:rsid w:val="0D7548BC"/>
    <w:rsid w:val="0D9378B6"/>
    <w:rsid w:val="0DF06AB6"/>
    <w:rsid w:val="0DF76096"/>
    <w:rsid w:val="0EAC50D3"/>
    <w:rsid w:val="0EC23BCE"/>
    <w:rsid w:val="0F1B7B63"/>
    <w:rsid w:val="0F201257"/>
    <w:rsid w:val="0FC30926"/>
    <w:rsid w:val="0FED14FF"/>
    <w:rsid w:val="106C095C"/>
    <w:rsid w:val="111331E7"/>
    <w:rsid w:val="12080FF5"/>
    <w:rsid w:val="12EF3A0C"/>
    <w:rsid w:val="12F901BB"/>
    <w:rsid w:val="132D162B"/>
    <w:rsid w:val="13A46379"/>
    <w:rsid w:val="140B289C"/>
    <w:rsid w:val="15077521"/>
    <w:rsid w:val="161901B5"/>
    <w:rsid w:val="171F21BA"/>
    <w:rsid w:val="173E0892"/>
    <w:rsid w:val="177C13BA"/>
    <w:rsid w:val="17E90CFE"/>
    <w:rsid w:val="17F84EE5"/>
    <w:rsid w:val="18094826"/>
    <w:rsid w:val="18470E05"/>
    <w:rsid w:val="18C41C1B"/>
    <w:rsid w:val="19595E57"/>
    <w:rsid w:val="19C05ED6"/>
    <w:rsid w:val="1AFD3161"/>
    <w:rsid w:val="1B1C713C"/>
    <w:rsid w:val="1B7F1479"/>
    <w:rsid w:val="1C746F76"/>
    <w:rsid w:val="1D721295"/>
    <w:rsid w:val="1D7F39B2"/>
    <w:rsid w:val="1F3C1B5B"/>
    <w:rsid w:val="1FB060A5"/>
    <w:rsid w:val="204D7D98"/>
    <w:rsid w:val="2177331E"/>
    <w:rsid w:val="21937A2C"/>
    <w:rsid w:val="220D3C83"/>
    <w:rsid w:val="226118D9"/>
    <w:rsid w:val="2288155B"/>
    <w:rsid w:val="22975397"/>
    <w:rsid w:val="231B7273"/>
    <w:rsid w:val="23353491"/>
    <w:rsid w:val="235C6C70"/>
    <w:rsid w:val="237D2742"/>
    <w:rsid w:val="24417C14"/>
    <w:rsid w:val="244421B1"/>
    <w:rsid w:val="24C90335"/>
    <w:rsid w:val="25DF1FE5"/>
    <w:rsid w:val="26C16668"/>
    <w:rsid w:val="27003DB6"/>
    <w:rsid w:val="27A13F11"/>
    <w:rsid w:val="284B2E0F"/>
    <w:rsid w:val="29B7461D"/>
    <w:rsid w:val="29F00112"/>
    <w:rsid w:val="29FF2103"/>
    <w:rsid w:val="2A697EC4"/>
    <w:rsid w:val="2ACF4E96"/>
    <w:rsid w:val="2AE67D2F"/>
    <w:rsid w:val="2B7E5674"/>
    <w:rsid w:val="2BA84AEB"/>
    <w:rsid w:val="2CA8563A"/>
    <w:rsid w:val="2CD52468"/>
    <w:rsid w:val="2E2B796A"/>
    <w:rsid w:val="2E482662"/>
    <w:rsid w:val="2EC541C2"/>
    <w:rsid w:val="2EF35FAE"/>
    <w:rsid w:val="2F02792B"/>
    <w:rsid w:val="2F186D81"/>
    <w:rsid w:val="2F832F75"/>
    <w:rsid w:val="2F8D01B1"/>
    <w:rsid w:val="2FEC32D6"/>
    <w:rsid w:val="307153DD"/>
    <w:rsid w:val="30D8545C"/>
    <w:rsid w:val="31701B38"/>
    <w:rsid w:val="32BA0C51"/>
    <w:rsid w:val="348F22D5"/>
    <w:rsid w:val="34984FEA"/>
    <w:rsid w:val="35637F31"/>
    <w:rsid w:val="35DA3B9F"/>
    <w:rsid w:val="36551451"/>
    <w:rsid w:val="36603F29"/>
    <w:rsid w:val="366D22D5"/>
    <w:rsid w:val="37CE30A6"/>
    <w:rsid w:val="38433B03"/>
    <w:rsid w:val="38563836"/>
    <w:rsid w:val="38F44DFD"/>
    <w:rsid w:val="39276F80"/>
    <w:rsid w:val="39BC3B6C"/>
    <w:rsid w:val="3B091033"/>
    <w:rsid w:val="3C0E4427"/>
    <w:rsid w:val="3C183569"/>
    <w:rsid w:val="3C31001D"/>
    <w:rsid w:val="3CA441BD"/>
    <w:rsid w:val="3DF66B39"/>
    <w:rsid w:val="3E25233C"/>
    <w:rsid w:val="3E3143FD"/>
    <w:rsid w:val="3E383864"/>
    <w:rsid w:val="3ECA1007"/>
    <w:rsid w:val="3F375A43"/>
    <w:rsid w:val="3F7D78FA"/>
    <w:rsid w:val="3FA530A3"/>
    <w:rsid w:val="3FD32669"/>
    <w:rsid w:val="41A970CC"/>
    <w:rsid w:val="427174BE"/>
    <w:rsid w:val="42FC75D2"/>
    <w:rsid w:val="448636F5"/>
    <w:rsid w:val="44B042CE"/>
    <w:rsid w:val="45050ABD"/>
    <w:rsid w:val="475F3D89"/>
    <w:rsid w:val="47DA4B7A"/>
    <w:rsid w:val="47F20C23"/>
    <w:rsid w:val="480C10F8"/>
    <w:rsid w:val="483B47F6"/>
    <w:rsid w:val="48CB3DCC"/>
    <w:rsid w:val="48DB3CB6"/>
    <w:rsid w:val="4AD36F68"/>
    <w:rsid w:val="4B0A3CE8"/>
    <w:rsid w:val="4B1D3440"/>
    <w:rsid w:val="4B8C1BDC"/>
    <w:rsid w:val="4BC56B3C"/>
    <w:rsid w:val="4BD905AE"/>
    <w:rsid w:val="4BE11211"/>
    <w:rsid w:val="4BF043B5"/>
    <w:rsid w:val="4C4F261E"/>
    <w:rsid w:val="4C5B0FC3"/>
    <w:rsid w:val="4D8570C2"/>
    <w:rsid w:val="4E852208"/>
    <w:rsid w:val="4EDB2A04"/>
    <w:rsid w:val="4EED611E"/>
    <w:rsid w:val="4F344DD0"/>
    <w:rsid w:val="4F822D0B"/>
    <w:rsid w:val="505A6D33"/>
    <w:rsid w:val="50C80FC7"/>
    <w:rsid w:val="514209A3"/>
    <w:rsid w:val="5181117B"/>
    <w:rsid w:val="51BD44CE"/>
    <w:rsid w:val="51D81308"/>
    <w:rsid w:val="523C53F3"/>
    <w:rsid w:val="538874F9"/>
    <w:rsid w:val="541E67E5"/>
    <w:rsid w:val="543B4E92"/>
    <w:rsid w:val="545F5CDF"/>
    <w:rsid w:val="55A7171D"/>
    <w:rsid w:val="55C51BA3"/>
    <w:rsid w:val="55E262B1"/>
    <w:rsid w:val="564C7BCE"/>
    <w:rsid w:val="574870DD"/>
    <w:rsid w:val="575C2093"/>
    <w:rsid w:val="57EF1159"/>
    <w:rsid w:val="58D60D1C"/>
    <w:rsid w:val="595D5C47"/>
    <w:rsid w:val="59C75EEA"/>
    <w:rsid w:val="5A010086"/>
    <w:rsid w:val="5A755946"/>
    <w:rsid w:val="5B4F3190"/>
    <w:rsid w:val="5BE2700B"/>
    <w:rsid w:val="5CDF354A"/>
    <w:rsid w:val="5EA246FD"/>
    <w:rsid w:val="5ED21FF1"/>
    <w:rsid w:val="5F4104EC"/>
    <w:rsid w:val="5F697EB2"/>
    <w:rsid w:val="5F86061B"/>
    <w:rsid w:val="6062071A"/>
    <w:rsid w:val="61F53810"/>
    <w:rsid w:val="620F042E"/>
    <w:rsid w:val="626048B5"/>
    <w:rsid w:val="628A41A8"/>
    <w:rsid w:val="62D41677"/>
    <w:rsid w:val="6336714F"/>
    <w:rsid w:val="63FD075A"/>
    <w:rsid w:val="64A82DBC"/>
    <w:rsid w:val="64EF4547"/>
    <w:rsid w:val="65901116"/>
    <w:rsid w:val="667A26CD"/>
    <w:rsid w:val="668F0119"/>
    <w:rsid w:val="676B2854"/>
    <w:rsid w:val="67896ED4"/>
    <w:rsid w:val="681D1D57"/>
    <w:rsid w:val="689618A9"/>
    <w:rsid w:val="68B61604"/>
    <w:rsid w:val="68B7537B"/>
    <w:rsid w:val="68FF6A50"/>
    <w:rsid w:val="6922138F"/>
    <w:rsid w:val="69531548"/>
    <w:rsid w:val="697B6BAA"/>
    <w:rsid w:val="69855479"/>
    <w:rsid w:val="69C9180A"/>
    <w:rsid w:val="69FF347E"/>
    <w:rsid w:val="6A505A87"/>
    <w:rsid w:val="6A9F256B"/>
    <w:rsid w:val="6B2E000F"/>
    <w:rsid w:val="6BDA5F51"/>
    <w:rsid w:val="6CF748E0"/>
    <w:rsid w:val="6CFF124A"/>
    <w:rsid w:val="6D4C36C0"/>
    <w:rsid w:val="6D730066"/>
    <w:rsid w:val="6D855A48"/>
    <w:rsid w:val="6E0E7BD2"/>
    <w:rsid w:val="6E31797E"/>
    <w:rsid w:val="6EFC1D3A"/>
    <w:rsid w:val="6F1B08FA"/>
    <w:rsid w:val="6F6F075E"/>
    <w:rsid w:val="6F80296B"/>
    <w:rsid w:val="6FF957E3"/>
    <w:rsid w:val="6FFE1AE2"/>
    <w:rsid w:val="71144A65"/>
    <w:rsid w:val="71945B8B"/>
    <w:rsid w:val="71AF12E6"/>
    <w:rsid w:val="71F4319C"/>
    <w:rsid w:val="720D425E"/>
    <w:rsid w:val="740A314B"/>
    <w:rsid w:val="740E335C"/>
    <w:rsid w:val="750C4CA1"/>
    <w:rsid w:val="75926CB7"/>
    <w:rsid w:val="76AE36B3"/>
    <w:rsid w:val="76AE6010"/>
    <w:rsid w:val="77C22D43"/>
    <w:rsid w:val="77D71596"/>
    <w:rsid w:val="77E141C3"/>
    <w:rsid w:val="77E81F97"/>
    <w:rsid w:val="781C7630"/>
    <w:rsid w:val="791D747D"/>
    <w:rsid w:val="79E1494E"/>
    <w:rsid w:val="7A681AE2"/>
    <w:rsid w:val="7B9559F0"/>
    <w:rsid w:val="7D2E2162"/>
    <w:rsid w:val="7D6C29AF"/>
    <w:rsid w:val="7E12436D"/>
    <w:rsid w:val="7EEA6053"/>
    <w:rsid w:val="7EEA7160"/>
    <w:rsid w:val="7FF271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sz w:val="21"/>
      <w:szCs w:val="22"/>
      <w:lang w:val="en-US" w:eastAsia="zh-CN" w:bidi="ar-SA"/>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2">
    <w:name w:val="Body Text"/>
    <w:basedOn w:val="1"/>
    <w:semiHidden/>
    <w:qFormat/>
    <w:uiPriority w:val="0"/>
    <w:pPr>
      <w:jc w:val="left"/>
    </w:pPr>
    <w:rPr>
      <w:rFonts w:ascii="Arial" w:hAnsi="Arial" w:eastAsia="黑体"/>
      <w:b/>
      <w:sz w:val="32"/>
    </w:rPr>
  </w:style>
  <w:style w:type="paragraph" w:styleId="4">
    <w:name w:val="Body Text Indent"/>
    <w:basedOn w:val="1"/>
    <w:qFormat/>
    <w:uiPriority w:val="0"/>
    <w:pPr>
      <w:ind w:firstLine="600" w:firstLineChars="250"/>
    </w:pPr>
    <w:rPr>
      <w:sz w:val="24"/>
      <w:szCs w:val="24"/>
    </w:rPr>
  </w:style>
  <w:style w:type="paragraph" w:styleId="5">
    <w:name w:val="toc 3"/>
    <w:basedOn w:val="1"/>
    <w:next w:val="1"/>
    <w:semiHidden/>
    <w:qFormat/>
    <w:uiPriority w:val="0"/>
    <w:pPr>
      <w:tabs>
        <w:tab w:val="right" w:leader="dot" w:pos="8494"/>
      </w:tabs>
      <w:ind w:left="840" w:leftChars="400"/>
    </w:pPr>
    <w:rPr>
      <w:rFonts w:hAnsi="宋体"/>
      <w:b/>
      <w:szCs w:val="21"/>
    </w:r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0"/>
    <w:pPr>
      <w:spacing w:before="100" w:beforeAutospacing="1" w:after="100" w:afterAutospacing="1"/>
      <w:jc w:val="left"/>
    </w:pPr>
    <w:rPr>
      <w:rFonts w:cs="Times New Roman"/>
      <w:sz w:val="24"/>
    </w:rPr>
  </w:style>
  <w:style w:type="paragraph" w:styleId="9">
    <w:name w:val="index 1"/>
    <w:basedOn w:val="1"/>
    <w:next w:val="1"/>
    <w:semiHidden/>
    <w:qFormat/>
    <w:uiPriority w:val="0"/>
    <w:rPr>
      <w:rFonts w:eastAsia="仿宋_GB2312"/>
      <w:b/>
      <w:sz w:val="24"/>
    </w:rPr>
  </w:style>
  <w:style w:type="paragraph" w:styleId="10">
    <w:name w:val="Body Text First Indent 2"/>
    <w:basedOn w:val="4"/>
    <w:qFormat/>
    <w:uiPriority w:val="0"/>
    <w:pPr>
      <w:ind w:firstLine="420"/>
    </w:pPr>
    <w:rPr>
      <w:rFonts w:ascii="仿宋_GB2312" w:eastAsia="仿宋_GB2312" w:cs="仿宋_GB2312"/>
      <w:sz w:val="32"/>
      <w:szCs w:val="32"/>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D&amp;L"/>
    <w:basedOn w:val="7"/>
    <w:qFormat/>
    <w:uiPriority w:val="0"/>
    <w:pPr>
      <w:pBdr>
        <w:bottom w:val="thinThickSmallGap" w:color="auto" w:sz="18" w:space="1"/>
      </w:pBdr>
      <w:adjustRightInd w:val="0"/>
      <w:snapToGrid/>
      <w:spacing w:line="240" w:lineRule="atLeast"/>
      <w:textAlignment w:val="baseline"/>
    </w:pPr>
    <w:rPr>
      <w:sz w:val="24"/>
      <w:szCs w:val="20"/>
    </w:rPr>
  </w:style>
  <w:style w:type="paragraph" w:customStyle="1" w:styleId="15">
    <w:name w:val="Char Char Char Char Char Char Char1 Char"/>
    <w:basedOn w:val="1"/>
    <w:qFormat/>
    <w:uiPriority w:val="0"/>
    <w:rPr>
      <w:rFonts w:ascii="Tahoma" w:hAnsi="Tahoma"/>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4c566f2a-c770-4911-9a8a-ed8daadc3987</errorID>
      <errorWord>有限公司宣城分公司</errorWord>
      <group>L1_Grammar</group>
      <groupName>语法问题</groupName>
      <ability>L2_Grammar</ability>
      <abilityName>语法错误</abilityName>
      <candidateList>
        <item>有限公司</item>
      </candidateList>
      <explain/>
      <paraID> D25E594</paraID>
      <start>26</start>
      <end>30</end>
      <status>modified</status>
      <modifiedWord>有限公司</modifiedWord>
      <trackRevisions>true</trackRevisions>
    </reviewItem>
    <reviewItem>
      <errorID>b529c10e-fdef-42da-90f9-465ec4ce14cf</errorID>
      <errorWord>预见费等所有全部</errorWord>
      <group>L1_Grammar</group>
      <groupName>语法问题</groupName>
      <ability>L2_Grammar</ability>
      <abilityName>语法错误</abilityName>
      <candidateList>
        <item>预见</item>
      </candidateList>
      <explain/>
      <paraID>3A499E9F</paraID>
      <start>77</start>
      <end>85</end>
      <status>ignored</status>
      <modifiedWord/>
      <trackRevisions>false</trackRevisions>
    </reviewItem>
    <reviewItem>
      <errorID>b71c4d44-f6ee-4e4d-a87d-6e1ede0bb066</errorID>
      <errorWord>；</errorWord>
      <group>L1_Word</group>
      <groupName>字词问题</groupName>
      <ability>L2_Typo</ability>
      <abilityName>字词错误</abilityName>
      <candidateList>
        <item>时，</item>
      </candidateList>
      <explain/>
      <paraID>3B52C5EA</paraID>
      <start>19</start>
      <end>20</end>
      <status>ignored</status>
      <modifiedWord/>
      <trackRevisions>false</trackRevisions>
    </reviewItem>
    <reviewItem>
      <errorID>e2f79a48-7bb6-4226-9727-7aa4e30b4677</errorID>
      <errorWord>咨询服务工作</errorWord>
      <group>L1_Grammar</group>
      <groupName>语法问题</groupName>
      <ability>L2_Grammar</ability>
      <abilityName>语法错误</abilityName>
      <candidateList>
        <item>咨询服务</item>
      </candidateList>
      <explain/>
      <paraID>6A4664FB</paraID>
      <start>36</start>
      <end>42</end>
      <status>ignored</status>
      <modifiedWord/>
      <trackRevisions>false</trackRevisions>
    </reviewItem>
    <reviewItem>
      <errorID>f4381995-f9b5-4b4a-9a5d-8cc4a5f6d57d</errorID>
      <errorWord>万</errorWord>
      <group>L1_Word</group>
      <groupName>字词问题</groupName>
      <ability>L2_Typo</ability>
      <abilityName>字词错误</abilityName>
      <candidateList>
        <item>万元</item>
      </candidateList>
      <explain/>
      <paraID>45E5D1E3</paraID>
      <start>8</start>
      <end>9</end>
      <status>ignored</status>
      <modifiedWord/>
      <trackRevisions>false</trackRevisions>
    </reviewItem>
    <reviewItem>
      <errorID>404a413b-f8a2-4e4b-b006-5f2641f6c83f</errorID>
      <errorWord>，</errorWord>
      <group>L1_Grammar</group>
      <groupName>语法问题</groupName>
      <ability>L2_Grammar</ability>
      <abilityName>语法错误</abilityName>
      <candidateList>
        <item>相关工作，</item>
      </candidateList>
      <explain/>
      <paraID>3EEC05AD</paraID>
      <start>15</start>
      <end>16</end>
      <status>ignored</status>
      <modifiedWord/>
      <trackRevisions>false</trackRevisions>
    </reviewItem>
    <reviewItem>
      <errorID>d45a0f34-cdda-4c56-9fff-d62850ae436b</errorID>
      <errorWord>有限公司宣城分公司</errorWord>
      <group>L1_Grammar</group>
      <groupName>语法问题</groupName>
      <ability>L2_Grammar</ability>
      <abilityName>语法错误</abilityName>
      <candidateList>
        <item>有限公司</item>
      </candidateList>
      <explain/>
      <paraID>4BC630B5</paraID>
      <start>27</start>
      <end>31</end>
      <status>modified</status>
      <modifiedWord>有限公司</modifiedWord>
      <trackRevisions>true</trackRevisions>
    </reviewItem>
    <reviewItem>
      <errorID>38b8519b-7b29-4973-b891-c16694c9b1c3</errorID>
      <errorWord>中国人民财产保险公司有限公司宣城市分公司</errorWord>
      <group>L1_Other</group>
      <groupName>其他问题</groupName>
      <ability>L2_Consistency</ability>
      <abilityName>一致性检查</abilityName>
      <candidateList>
        <item>中国人民财产保险股份有限公司宣城分公司</item>
      </candidateList>
      <explain>实体一致性问题，名称表述不一致，应统一为规范表述</explain>
      <paraID>40D289F0</paraID>
      <start>53</start>
      <end>72</end>
      <status>modified</status>
      <modifiedWord>中国人民财产保险股份有限公司宣城分公司</modifiedWord>
      <trackRevisions>true</trackRevisions>
    </reviewItem>
    <reviewItem>
      <errorID>1f75f308-96ca-4321-a6e5-9b282d391be0</errorID>
      <errorWord>行业协会</errorWord>
      <group>L1_Grammar</group>
      <groupName>语法问题</groupName>
      <ability>L2_Grammar</ability>
      <abilityName>语法错误</abilityName>
      <candidateList>
        <item>协会</item>
      </candidateList>
      <explain/>
      <paraID>125185B7</paraID>
      <start>9</start>
      <end>13</end>
      <status>ignored</status>
      <modifiedWord/>
      <trackRevisions>false</trackRevisions>
    </reviewItem>
    <reviewItem>
      <errorID>12ab4b8f-74d8-4024-813a-3dbae020a97c</errorID>
      <errorWord>中国人民财产保险公司有限公司宣城市分公司</errorWord>
      <group>L1_Other</group>
      <groupName>其他问题</groupName>
      <ability>L2_Consistency</ability>
      <abilityName>一致性检查</abilityName>
      <candidateList>
        <item>中国人民财产保险股份有限公司宣城分公司</item>
      </candidateList>
      <explain>实体一致性问题，名称表述不一致，应统一为规范表述</explain>
      <paraID>612835BD</paraID>
      <start>0</start>
      <end>19</end>
      <status>modified</status>
      <modifiedWord>中国人民财产保险股份有限公司宣城分公司</modifiedWord>
      <trackRevisions>true</trackRevisions>
    </reviewItem>
    <reviewItem>
      <errorID>4b1d7518-70a8-4568-8ebb-185c17e8012a</errorID>
      <errorWord>以下报价</errorWord>
      <group>L1_Grammar</group>
      <groupName>语法问题</groupName>
      <ability>L2_Grammar</ability>
      <abilityName>语法错误</abilityName>
      <candidateList>
        <item>以下</item>
      </candidateList>
      <explain/>
      <paraID>1709144A</paraID>
      <start>3</start>
      <end>5</end>
      <status>modified</status>
      <modifiedWord>以下</modifiedWord>
      <trackRevisions>true</trackRevisions>
    </reviewItem>
    <reviewItem>
      <errorID>97c63393-f891-4be6-ba78-54b44be8f192</errorID>
      <errorWord>等及</errorWord>
      <group>L1_Word</group>
      <groupName>字词问题</groupName>
      <ability>L2_Typo</ability>
      <abilityName>字词错误</abilityName>
      <candidateList>
        <item>等</item>
      </candidateList>
      <explain/>
      <paraID>1709144A</paraID>
      <start>66</start>
      <end>67</end>
      <status>modified</status>
      <modifiedWord>等</modifiedWord>
      <trackRevisions>true</trackRevisions>
    </reviewItem>
    <reviewItem>
      <errorID>cbe1f699-41de-41f6-8809-329aa861b524</errorID>
      <errorWord>预见费等所有全部</errorWord>
      <group>L1_Grammar</group>
      <groupName>语法问题</groupName>
      <ability>L2_Grammar</ability>
      <abilityName>语法错误</abilityName>
      <candidateList>
        <item>预见</item>
      </candidateList>
      <explain/>
      <paraID>1709144A</paraID>
      <start>71</start>
      <end>79</end>
      <status>ignored</status>
      <modifiedWord/>
      <trackRevisions>false</trackRevisions>
    </reviewItem>
    <reviewItem>
      <errorID>5d2b7f73-e60c-42ae-8840-c0b08584ccfb</errorID>
      <errorWord>次培训</errorWord>
      <group>L1_Grammar</group>
      <groupName>语法问题</groupName>
      <ability>L2_Grammar</ability>
      <abilityName>语法错误</abilityName>
      <candidateList>
        <item>次</item>
      </candidateList>
      <explain/>
      <paraID>2CB3FFC7</paraID>
      <start>1</start>
      <end>4</end>
      <status>ignored</status>
      <modifiedWord/>
      <trackRevisions>false</trackRevisions>
    </reviewItem>
    <reviewItem>
      <errorID>ae8acc71-975e-4400-96df-2757793dcba1</errorID>
      <errorWord>）以上</errorWord>
      <group>L1_Grammar</group>
      <groupName>语法问题</groupName>
      <ability>L2_Grammar</ability>
      <abilityName>语法错误</abilityName>
      <candidateList>
        <item>）</item>
      </candidateList>
      <explain/>
      <paraID>6662145D</paraID>
      <start>15</start>
      <end>18</end>
      <status>ignored</status>
      <modifiedWord/>
      <trackRevisions>false</trackRevisions>
    </reviewItem>
    <reviewItem>
      <errorID>60c882fa-b1dc-429f-8b1c-05df9437f986</errorID>
      <errorWord>万</errorWord>
      <group>L1_Word</group>
      <groupName>字词问题</groupName>
      <ability>L2_Typo</ability>
      <abilityName>字词错误</abilityName>
      <candidateList>
        <item>万元</item>
      </candidateList>
      <explain/>
      <paraID>133C5B28</paraID>
      <start>8</start>
      <end>9</end>
      <status>ignored</status>
      <modifiedWord/>
      <trackRevisions>false</trackRevisions>
    </reviewItem>
    <reviewItem>
      <errorID>25b61c8b-1301-46f1-abe4-419a02f7c46b</errorID>
      <errorWord>如果</errorWord>
      <group>L1_Word</group>
      <groupName>字词问题</groupName>
      <ability>L2_Typo</ability>
      <abilityName>字词错误</abilityName>
      <candidateList>
        <item>若</item>
      </candidateList>
      <explain/>
      <paraID>2C706F44</paraID>
      <start>13</start>
      <end>14</end>
      <status>modified</status>
      <modifiedWord>若</modifiedWord>
      <trackRevisions>true</trackRevisions>
    </reviewItem>
    <reviewItem>
      <errorID>b1cabba7-9507-4528-8f26-16106ea9e492</errorID>
      <errorWord>等级分</errorWord>
      <group>L1_Word</group>
      <groupName>字词问题</groupName>
      <ability>L2_Typo</ability>
      <abilityName>字词错误</abilityName>
      <candidateList>
        <item>等级分为</item>
      </candidateList>
      <explain/>
      <paraID>2DC8ECBF</paraID>
      <start>4</start>
      <end>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FFAF18A-C3CD-4F83-9A06-B418CD4FFEE4}">
  <ds:schemaRefs/>
</ds:datastoreItem>
</file>

<file path=docProps/app.xml><?xml version="1.0" encoding="utf-8"?>
<Properties xmlns="http://schemas.openxmlformats.org/officeDocument/2006/extended-properties" xmlns:vt="http://schemas.openxmlformats.org/officeDocument/2006/docPropsVTypes">
  <Template>Normal</Template>
  <Pages>26</Pages>
  <Words>78</Words>
  <Characters>78</Characters>
  <Lines>571</Lines>
  <Paragraphs>445</Paragraphs>
  <TotalTime>167</TotalTime>
  <ScaleCrop>false</ScaleCrop>
  <LinksUpToDate>false</LinksUpToDate>
  <CharactersWithSpaces>104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2026-05-13T08:39:00Z</dcterms:created>
  <dc:creator>Apache POI</dc:creator>
  <cp:lastModifiedBy>Angus</cp:lastModifiedBy>
  <cp:lastPrinted>2026-05-19T01:05:00Z</cp:lastPrinted>
  <dcterms:modified xsi:type="dcterms:W3CDTF">2026-10-27T09:29:40Z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33ABE4E38F0D4989B8F3394477133745_13</vt:lpwstr>
  </property>
  <property fmtid="{D5CDD505-2E9C-101B-9397-08002B2CF9AE}" pid="4" name="KSOTemplateDocerSaveRecord">
    <vt:lpwstr>eyJoZGlkIjoiMWJmYmVhMGQ2YWQwOTc0ZDFkYmVkZTE0NzFkNThlYzIiLCJ1c2VySWQiOiIxNTc3Mjg2NTc3In0=</vt:lpwstr>
  </property>
</Properties>
</file>